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E7BD03" w14:textId="77777777" w:rsidR="00D028DA" w:rsidRPr="00810F53" w:rsidRDefault="00D028DA">
      <w:pPr>
        <w:rPr>
          <w:b/>
          <w:sz w:val="24"/>
          <w:szCs w:val="24"/>
          <w:u w:val="single"/>
        </w:rPr>
      </w:pPr>
      <w:bookmarkStart w:id="0" w:name="Purpose1"/>
      <w:bookmarkStart w:id="1" w:name="_GoBack"/>
      <w:bookmarkEnd w:id="0"/>
      <w:bookmarkEnd w:id="1"/>
      <w:r w:rsidRPr="00810F53">
        <w:rPr>
          <w:b/>
          <w:sz w:val="24"/>
          <w:szCs w:val="24"/>
          <w:u w:val="single"/>
        </w:rPr>
        <w:t>Purpose:</w:t>
      </w:r>
    </w:p>
    <w:p w14:paraId="744AF04E" w14:textId="77777777" w:rsidR="00D028DA" w:rsidRPr="00810F53" w:rsidRDefault="00D028DA">
      <w:pPr>
        <w:rPr>
          <w:b/>
          <w:color w:val="0000FF"/>
          <w:sz w:val="24"/>
          <w:szCs w:val="24"/>
          <w:u w:val="single"/>
        </w:rPr>
      </w:pPr>
    </w:p>
    <w:p w14:paraId="79F1E6D4" w14:textId="77777777" w:rsidR="00D028DA" w:rsidRPr="00810F53" w:rsidRDefault="003262F0">
      <w:pPr>
        <w:pStyle w:val="BodyText2"/>
        <w:rPr>
          <w:sz w:val="24"/>
          <w:szCs w:val="24"/>
        </w:rPr>
      </w:pPr>
      <w:r w:rsidRPr="00810F53">
        <w:rPr>
          <w:sz w:val="24"/>
          <w:szCs w:val="24"/>
        </w:rPr>
        <w:t>The intent of these procedures</w:t>
      </w:r>
      <w:r w:rsidR="00D028DA" w:rsidRPr="00810F53">
        <w:rPr>
          <w:sz w:val="24"/>
          <w:szCs w:val="24"/>
        </w:rPr>
        <w:t xml:space="preserve"> is to establish criteria for safeguarding confidential information and to minimize the risk of unauthorized access, use</w:t>
      </w:r>
      <w:r w:rsidR="003614D1" w:rsidRPr="00810F53">
        <w:rPr>
          <w:sz w:val="24"/>
          <w:szCs w:val="24"/>
        </w:rPr>
        <w:t>,</w:t>
      </w:r>
      <w:r w:rsidR="00D028DA" w:rsidRPr="00810F53">
        <w:rPr>
          <w:sz w:val="24"/>
          <w:szCs w:val="24"/>
        </w:rPr>
        <w:t xml:space="preserve"> or disclosure.</w:t>
      </w:r>
      <w:r w:rsidR="00F06494" w:rsidRPr="00810F53">
        <w:rPr>
          <w:sz w:val="24"/>
          <w:szCs w:val="24"/>
        </w:rPr>
        <w:t xml:space="preserve">  These procedures will be followed exactly </w:t>
      </w:r>
      <w:r w:rsidR="00623FCF" w:rsidRPr="00810F53">
        <w:rPr>
          <w:sz w:val="24"/>
          <w:szCs w:val="24"/>
        </w:rPr>
        <w:t xml:space="preserve">by all persons covered under </w:t>
      </w:r>
      <w:r w:rsidR="003614D1" w:rsidRPr="00810F53">
        <w:rPr>
          <w:sz w:val="24"/>
          <w:szCs w:val="24"/>
        </w:rPr>
        <w:t>the organization’s</w:t>
      </w:r>
      <w:r w:rsidR="00623FCF" w:rsidRPr="00810F53">
        <w:rPr>
          <w:sz w:val="24"/>
          <w:szCs w:val="24"/>
        </w:rPr>
        <w:t xml:space="preserve"> HIPAA policies and </w:t>
      </w:r>
      <w:proofErr w:type="gramStart"/>
      <w:r w:rsidR="00623FCF" w:rsidRPr="00810F53">
        <w:rPr>
          <w:sz w:val="24"/>
          <w:szCs w:val="24"/>
        </w:rPr>
        <w:t xml:space="preserve">procedures, </w:t>
      </w:r>
      <w:r w:rsidR="00F06494" w:rsidRPr="00810F53">
        <w:rPr>
          <w:sz w:val="24"/>
          <w:szCs w:val="24"/>
        </w:rPr>
        <w:t>and</w:t>
      </w:r>
      <w:proofErr w:type="gramEnd"/>
      <w:r w:rsidR="00F06494" w:rsidRPr="00810F53">
        <w:rPr>
          <w:sz w:val="24"/>
          <w:szCs w:val="24"/>
        </w:rPr>
        <w:t xml:space="preserve"> are </w:t>
      </w:r>
      <w:r w:rsidR="00623FCF" w:rsidRPr="00810F53">
        <w:rPr>
          <w:sz w:val="24"/>
          <w:szCs w:val="24"/>
        </w:rPr>
        <w:t>required in order</w:t>
      </w:r>
      <w:r w:rsidR="003614D1" w:rsidRPr="00810F53">
        <w:rPr>
          <w:sz w:val="24"/>
          <w:szCs w:val="24"/>
        </w:rPr>
        <w:t xml:space="preserve"> </w:t>
      </w:r>
      <w:r w:rsidR="00F06494" w:rsidRPr="00810F53">
        <w:rPr>
          <w:sz w:val="24"/>
          <w:szCs w:val="24"/>
        </w:rPr>
        <w:t>to comply with HIPAA.</w:t>
      </w:r>
    </w:p>
    <w:p w14:paraId="50315504" w14:textId="77777777" w:rsidR="00D028DA" w:rsidRPr="00810F53" w:rsidRDefault="00D028DA">
      <w:pPr>
        <w:rPr>
          <w:sz w:val="24"/>
          <w:szCs w:val="24"/>
        </w:rPr>
      </w:pPr>
      <w:bookmarkStart w:id="2" w:name="Policy1"/>
      <w:bookmarkStart w:id="3" w:name="_Hlt10349820"/>
    </w:p>
    <w:bookmarkEnd w:id="2"/>
    <w:bookmarkEnd w:id="3"/>
    <w:p w14:paraId="0F9759FD" w14:textId="77777777" w:rsidR="00D028DA" w:rsidRPr="00810F53" w:rsidRDefault="003B52B2" w:rsidP="00F33F95">
      <w:pPr>
        <w:rPr>
          <w:b/>
          <w:sz w:val="24"/>
          <w:szCs w:val="24"/>
          <w:u w:val="single"/>
        </w:rPr>
      </w:pPr>
      <w:r w:rsidRPr="00810F53">
        <w:rPr>
          <w:b/>
          <w:sz w:val="24"/>
          <w:szCs w:val="24"/>
          <w:u w:val="single"/>
        </w:rPr>
        <w:t>Guiding Principle</w:t>
      </w:r>
      <w:r w:rsidR="00D028DA" w:rsidRPr="00810F53">
        <w:rPr>
          <w:b/>
          <w:sz w:val="24"/>
          <w:szCs w:val="24"/>
          <w:u w:val="single"/>
        </w:rPr>
        <w:t>:</w:t>
      </w:r>
    </w:p>
    <w:p w14:paraId="3C640917" w14:textId="77777777" w:rsidR="00D028DA" w:rsidRPr="00810F53" w:rsidRDefault="00D028DA">
      <w:pPr>
        <w:rPr>
          <w:b/>
          <w:color w:val="0000FF"/>
          <w:sz w:val="24"/>
          <w:szCs w:val="24"/>
          <w:u w:val="single"/>
        </w:rPr>
      </w:pPr>
    </w:p>
    <w:p w14:paraId="64BD8A73" w14:textId="77777777" w:rsidR="00D028DA" w:rsidRPr="00810F53" w:rsidRDefault="00D028DA" w:rsidP="00F33F95">
      <w:pPr>
        <w:pStyle w:val="BodyText2"/>
        <w:numPr>
          <w:ilvl w:val="0"/>
          <w:numId w:val="15"/>
        </w:numPr>
        <w:spacing w:before="60" w:after="60"/>
        <w:rPr>
          <w:sz w:val="24"/>
          <w:szCs w:val="24"/>
        </w:rPr>
      </w:pPr>
      <w:r w:rsidRPr="00810F53">
        <w:rPr>
          <w:sz w:val="24"/>
          <w:szCs w:val="24"/>
        </w:rPr>
        <w:t xml:space="preserve">To ensure </w:t>
      </w:r>
      <w:r w:rsidR="00D45B25" w:rsidRPr="00810F53">
        <w:rPr>
          <w:sz w:val="24"/>
          <w:szCs w:val="24"/>
        </w:rPr>
        <w:t>clients or participant</w:t>
      </w:r>
      <w:r w:rsidRPr="00810F53">
        <w:rPr>
          <w:sz w:val="24"/>
          <w:szCs w:val="24"/>
        </w:rPr>
        <w:t xml:space="preserve">s can receive an accounting of disclosures of their protected health information, not including disclosures for purposes of treatment, payment or health care operations.  Disclosures to business partners must be included in the accounting.  Under the Health Insurance Portability and Accountability Act, covered entities must give </w:t>
      </w:r>
      <w:r w:rsidR="00D45B25" w:rsidRPr="00810F53">
        <w:rPr>
          <w:sz w:val="24"/>
          <w:szCs w:val="24"/>
        </w:rPr>
        <w:t>clients or participant</w:t>
      </w:r>
      <w:r w:rsidRPr="00810F53">
        <w:rPr>
          <w:sz w:val="24"/>
          <w:szCs w:val="24"/>
        </w:rPr>
        <w:t xml:space="preserve">s an accounting of disclosures, if requested.  </w:t>
      </w:r>
      <w:r w:rsidR="00D45B25" w:rsidRPr="00810F53">
        <w:rPr>
          <w:sz w:val="24"/>
          <w:szCs w:val="24"/>
        </w:rPr>
        <w:t>Clients or participant</w:t>
      </w:r>
      <w:r w:rsidRPr="00810F53">
        <w:rPr>
          <w:sz w:val="24"/>
          <w:szCs w:val="24"/>
        </w:rPr>
        <w:t>s may request an accounting of disclosures that were made up to six years prior to the date of request.</w:t>
      </w:r>
    </w:p>
    <w:p w14:paraId="56754879" w14:textId="77777777" w:rsidR="00D028DA" w:rsidRPr="00810F53" w:rsidRDefault="00D028DA" w:rsidP="00F33F95">
      <w:pPr>
        <w:pStyle w:val="BodyText2"/>
        <w:numPr>
          <w:ilvl w:val="0"/>
          <w:numId w:val="15"/>
        </w:numPr>
        <w:spacing w:before="60" w:after="60"/>
        <w:rPr>
          <w:sz w:val="24"/>
          <w:szCs w:val="24"/>
        </w:rPr>
      </w:pPr>
      <w:r w:rsidRPr="00810F53">
        <w:rPr>
          <w:sz w:val="24"/>
          <w:szCs w:val="24"/>
        </w:rPr>
        <w:t xml:space="preserve">The </w:t>
      </w:r>
      <w:r w:rsidR="003614D1" w:rsidRPr="00810F53">
        <w:rPr>
          <w:sz w:val="24"/>
          <w:szCs w:val="24"/>
        </w:rPr>
        <w:t>organization</w:t>
      </w:r>
      <w:r w:rsidRPr="00810F53">
        <w:rPr>
          <w:sz w:val="24"/>
          <w:szCs w:val="24"/>
        </w:rPr>
        <w:t xml:space="preserve"> must take reasonable steps to safeguard information from any intentional or unintentional use or disclosure that is in violation of the privacy policies.  Information to be safeguarded may be in any medium, including paper, electronic, oral and visual representations of confidential information.</w:t>
      </w:r>
    </w:p>
    <w:p w14:paraId="6C6A3CF8" w14:textId="77777777" w:rsidR="00D028DA" w:rsidRPr="00810F53" w:rsidRDefault="00D028DA" w:rsidP="00F33F95">
      <w:pPr>
        <w:numPr>
          <w:ilvl w:val="0"/>
          <w:numId w:val="15"/>
        </w:numPr>
        <w:spacing w:before="60" w:after="60"/>
        <w:rPr>
          <w:snapToGrid w:val="0"/>
          <w:sz w:val="24"/>
          <w:szCs w:val="24"/>
        </w:rPr>
      </w:pPr>
      <w:r w:rsidRPr="00810F53">
        <w:rPr>
          <w:snapToGrid w:val="0"/>
          <w:sz w:val="24"/>
          <w:szCs w:val="24"/>
        </w:rPr>
        <w:t xml:space="preserve">Safeguarding confidential information – </w:t>
      </w:r>
      <w:r w:rsidR="003614D1" w:rsidRPr="00810F53">
        <w:rPr>
          <w:snapToGrid w:val="0"/>
          <w:sz w:val="24"/>
          <w:szCs w:val="24"/>
        </w:rPr>
        <w:t>organizational</w:t>
      </w:r>
      <w:r w:rsidRPr="00810F53">
        <w:rPr>
          <w:snapToGrid w:val="0"/>
          <w:sz w:val="24"/>
          <w:szCs w:val="24"/>
        </w:rPr>
        <w:t xml:space="preserve"> workplace practices</w:t>
      </w:r>
    </w:p>
    <w:p w14:paraId="42B1EF54" w14:textId="77777777" w:rsidR="00D028DA" w:rsidRPr="00810F53" w:rsidRDefault="00D028DA" w:rsidP="00F33F95">
      <w:pPr>
        <w:numPr>
          <w:ilvl w:val="1"/>
          <w:numId w:val="15"/>
        </w:numPr>
        <w:spacing w:before="60" w:after="60"/>
        <w:rPr>
          <w:sz w:val="24"/>
          <w:szCs w:val="24"/>
        </w:rPr>
      </w:pPr>
      <w:r w:rsidRPr="00810F53">
        <w:rPr>
          <w:sz w:val="24"/>
          <w:szCs w:val="24"/>
        </w:rPr>
        <w:t xml:space="preserve">Paper </w:t>
      </w:r>
      <w:r w:rsidR="00087F45" w:rsidRPr="00810F53">
        <w:rPr>
          <w:sz w:val="24"/>
          <w:szCs w:val="24"/>
        </w:rPr>
        <w:t>Communications</w:t>
      </w:r>
      <w:r w:rsidR="00F10DD3" w:rsidRPr="00810F53">
        <w:rPr>
          <w:sz w:val="24"/>
          <w:szCs w:val="24"/>
        </w:rPr>
        <w:t xml:space="preserve"> and Records</w:t>
      </w:r>
      <w:r w:rsidR="00087F45" w:rsidRPr="00810F53">
        <w:rPr>
          <w:sz w:val="24"/>
          <w:szCs w:val="24"/>
        </w:rPr>
        <w:t>:</w:t>
      </w:r>
    </w:p>
    <w:p w14:paraId="3F373F75" w14:textId="77777777" w:rsidR="00D028DA" w:rsidRPr="00810F53" w:rsidRDefault="003614D1" w:rsidP="00F33F95">
      <w:pPr>
        <w:numPr>
          <w:ilvl w:val="2"/>
          <w:numId w:val="15"/>
        </w:numPr>
        <w:spacing w:before="60" w:after="60"/>
        <w:rPr>
          <w:color w:val="FF0000"/>
          <w:sz w:val="24"/>
          <w:szCs w:val="24"/>
        </w:rPr>
      </w:pPr>
      <w:r w:rsidRPr="00810F53">
        <w:rPr>
          <w:color w:val="FF0000"/>
          <w:sz w:val="24"/>
          <w:szCs w:val="24"/>
        </w:rPr>
        <w:t xml:space="preserve">Provide a list of measures that the organization is implementing to </w:t>
      </w:r>
      <w:r w:rsidR="009B78EB" w:rsidRPr="00810F53">
        <w:rPr>
          <w:color w:val="FF0000"/>
          <w:sz w:val="24"/>
          <w:szCs w:val="24"/>
        </w:rPr>
        <w:t xml:space="preserve">reasonably </w:t>
      </w:r>
      <w:r w:rsidRPr="00810F53">
        <w:rPr>
          <w:color w:val="FF0000"/>
          <w:sz w:val="24"/>
          <w:szCs w:val="24"/>
        </w:rPr>
        <w:t>ensure the privacy of paper communications and records.</w:t>
      </w:r>
    </w:p>
    <w:p w14:paraId="458A5275" w14:textId="77777777" w:rsidR="00D028DA" w:rsidRPr="00810F53" w:rsidRDefault="00D028DA" w:rsidP="00F33F95">
      <w:pPr>
        <w:numPr>
          <w:ilvl w:val="1"/>
          <w:numId w:val="15"/>
        </w:numPr>
        <w:spacing w:before="60" w:after="60"/>
        <w:rPr>
          <w:sz w:val="24"/>
          <w:szCs w:val="24"/>
        </w:rPr>
      </w:pPr>
      <w:r w:rsidRPr="00810F53">
        <w:rPr>
          <w:sz w:val="24"/>
          <w:szCs w:val="24"/>
        </w:rPr>
        <w:t>Oral</w:t>
      </w:r>
      <w:r w:rsidR="00087F45" w:rsidRPr="00810F53">
        <w:rPr>
          <w:sz w:val="24"/>
          <w:szCs w:val="24"/>
        </w:rPr>
        <w:t xml:space="preserve"> Communications</w:t>
      </w:r>
      <w:r w:rsidR="00F10DD3" w:rsidRPr="00810F53">
        <w:rPr>
          <w:sz w:val="24"/>
          <w:szCs w:val="24"/>
        </w:rPr>
        <w:t xml:space="preserve"> and Records</w:t>
      </w:r>
      <w:r w:rsidRPr="00810F53">
        <w:rPr>
          <w:sz w:val="24"/>
          <w:szCs w:val="24"/>
        </w:rPr>
        <w:t>:</w:t>
      </w:r>
    </w:p>
    <w:p w14:paraId="668A1C02" w14:textId="77777777" w:rsidR="00D028DA" w:rsidRPr="00810F53" w:rsidRDefault="003614D1" w:rsidP="00F33F95">
      <w:pPr>
        <w:numPr>
          <w:ilvl w:val="2"/>
          <w:numId w:val="15"/>
        </w:numPr>
        <w:spacing w:before="60" w:after="60"/>
        <w:rPr>
          <w:color w:val="FF0000"/>
          <w:sz w:val="24"/>
          <w:szCs w:val="24"/>
        </w:rPr>
      </w:pPr>
      <w:r w:rsidRPr="00810F53">
        <w:rPr>
          <w:color w:val="FF0000"/>
          <w:sz w:val="24"/>
          <w:szCs w:val="24"/>
        </w:rPr>
        <w:t xml:space="preserve">Provide a list of measures that the organization is implementing to </w:t>
      </w:r>
      <w:r w:rsidR="009B78EB" w:rsidRPr="00810F53">
        <w:rPr>
          <w:color w:val="FF0000"/>
          <w:sz w:val="24"/>
          <w:szCs w:val="24"/>
        </w:rPr>
        <w:t xml:space="preserve">reasonably </w:t>
      </w:r>
      <w:r w:rsidRPr="00810F53">
        <w:rPr>
          <w:color w:val="FF0000"/>
          <w:sz w:val="24"/>
          <w:szCs w:val="24"/>
        </w:rPr>
        <w:t>ensure the privacy of oral communications and records.</w:t>
      </w:r>
    </w:p>
    <w:p w14:paraId="5B6159D5" w14:textId="77777777" w:rsidR="003614D1" w:rsidRPr="00810F53" w:rsidRDefault="00D028DA" w:rsidP="00F33F95">
      <w:pPr>
        <w:numPr>
          <w:ilvl w:val="1"/>
          <w:numId w:val="15"/>
        </w:numPr>
        <w:spacing w:before="60" w:after="60"/>
        <w:rPr>
          <w:sz w:val="24"/>
          <w:szCs w:val="24"/>
        </w:rPr>
      </w:pPr>
      <w:r w:rsidRPr="00810F53">
        <w:rPr>
          <w:sz w:val="24"/>
          <w:szCs w:val="24"/>
        </w:rPr>
        <w:t>Visual</w:t>
      </w:r>
      <w:r w:rsidR="00087F45" w:rsidRPr="00810F53">
        <w:rPr>
          <w:sz w:val="24"/>
          <w:szCs w:val="24"/>
        </w:rPr>
        <w:t xml:space="preserve"> Communications</w:t>
      </w:r>
      <w:r w:rsidR="00F10DD3" w:rsidRPr="00810F53">
        <w:rPr>
          <w:sz w:val="24"/>
          <w:szCs w:val="24"/>
        </w:rPr>
        <w:t xml:space="preserve"> and Records</w:t>
      </w:r>
      <w:r w:rsidRPr="00810F53">
        <w:rPr>
          <w:sz w:val="24"/>
          <w:szCs w:val="24"/>
        </w:rPr>
        <w:t xml:space="preserve">: </w:t>
      </w:r>
    </w:p>
    <w:p w14:paraId="40C029CE" w14:textId="77777777" w:rsidR="00D028DA" w:rsidRPr="00810F53" w:rsidRDefault="003614D1" w:rsidP="00F33F95">
      <w:pPr>
        <w:numPr>
          <w:ilvl w:val="2"/>
          <w:numId w:val="15"/>
        </w:numPr>
        <w:spacing w:before="60" w:after="60"/>
        <w:rPr>
          <w:sz w:val="24"/>
          <w:szCs w:val="24"/>
        </w:rPr>
      </w:pPr>
      <w:r w:rsidRPr="00810F53">
        <w:rPr>
          <w:color w:val="FF0000"/>
          <w:sz w:val="24"/>
          <w:szCs w:val="24"/>
        </w:rPr>
        <w:t xml:space="preserve">Provide a list of measures that the organization is implementing to </w:t>
      </w:r>
      <w:r w:rsidR="009B78EB" w:rsidRPr="00810F53">
        <w:rPr>
          <w:color w:val="FF0000"/>
          <w:sz w:val="24"/>
          <w:szCs w:val="24"/>
        </w:rPr>
        <w:t xml:space="preserve">reasonably </w:t>
      </w:r>
      <w:r w:rsidRPr="00810F53">
        <w:rPr>
          <w:color w:val="FF0000"/>
          <w:sz w:val="24"/>
          <w:szCs w:val="24"/>
        </w:rPr>
        <w:t>ensure the privacy of visual communications and records.</w:t>
      </w:r>
      <w:r w:rsidR="00D028DA" w:rsidRPr="00810F53">
        <w:rPr>
          <w:sz w:val="24"/>
          <w:szCs w:val="24"/>
        </w:rPr>
        <w:t xml:space="preserve">  </w:t>
      </w:r>
    </w:p>
    <w:p w14:paraId="27108D1E" w14:textId="77777777" w:rsidR="003614D1" w:rsidRPr="00810F53" w:rsidRDefault="00D028DA" w:rsidP="00556DB0">
      <w:pPr>
        <w:numPr>
          <w:ilvl w:val="0"/>
          <w:numId w:val="15"/>
        </w:numPr>
        <w:spacing w:before="60" w:after="60"/>
        <w:rPr>
          <w:color w:val="FF0000"/>
          <w:sz w:val="24"/>
          <w:szCs w:val="24"/>
        </w:rPr>
      </w:pPr>
      <w:r w:rsidRPr="00810F53">
        <w:rPr>
          <w:sz w:val="24"/>
          <w:szCs w:val="24"/>
        </w:rPr>
        <w:t xml:space="preserve">Safeguarding confidential information – </w:t>
      </w:r>
      <w:r w:rsidR="003614D1" w:rsidRPr="00810F53">
        <w:rPr>
          <w:sz w:val="24"/>
          <w:szCs w:val="24"/>
        </w:rPr>
        <w:t>The organization’s</w:t>
      </w:r>
      <w:r w:rsidRPr="00810F53">
        <w:rPr>
          <w:sz w:val="24"/>
          <w:szCs w:val="24"/>
        </w:rPr>
        <w:t xml:space="preserve"> administrative safeguards</w:t>
      </w:r>
    </w:p>
    <w:p w14:paraId="4102841A" w14:textId="77777777" w:rsidR="00D028DA" w:rsidRDefault="003614D1" w:rsidP="001D2738">
      <w:pPr>
        <w:numPr>
          <w:ilvl w:val="1"/>
          <w:numId w:val="15"/>
        </w:numPr>
        <w:spacing w:before="60"/>
        <w:rPr>
          <w:color w:val="FF0000"/>
          <w:sz w:val="24"/>
          <w:szCs w:val="24"/>
        </w:rPr>
      </w:pPr>
      <w:r w:rsidRPr="00810F53">
        <w:rPr>
          <w:color w:val="FF0000"/>
          <w:sz w:val="24"/>
          <w:szCs w:val="24"/>
        </w:rPr>
        <w:t xml:space="preserve">Provide a description of measures the organization is </w:t>
      </w:r>
      <w:r w:rsidR="005826F3" w:rsidRPr="00810F53">
        <w:rPr>
          <w:color w:val="FF0000"/>
          <w:sz w:val="24"/>
          <w:szCs w:val="24"/>
        </w:rPr>
        <w:t xml:space="preserve">implementing </w:t>
      </w:r>
      <w:r w:rsidRPr="00810F53">
        <w:rPr>
          <w:color w:val="FF0000"/>
          <w:sz w:val="24"/>
          <w:szCs w:val="24"/>
        </w:rPr>
        <w:t xml:space="preserve">to </w:t>
      </w:r>
      <w:r w:rsidR="005826F3" w:rsidRPr="00810F53">
        <w:rPr>
          <w:color w:val="FF0000"/>
          <w:sz w:val="24"/>
          <w:szCs w:val="24"/>
        </w:rPr>
        <w:t xml:space="preserve">reasonably </w:t>
      </w:r>
      <w:r w:rsidRPr="00810F53">
        <w:rPr>
          <w:color w:val="FF0000"/>
          <w:sz w:val="24"/>
          <w:szCs w:val="24"/>
        </w:rPr>
        <w:t>safeguard files</w:t>
      </w:r>
      <w:r w:rsidR="005826F3" w:rsidRPr="00810F53">
        <w:rPr>
          <w:color w:val="FF0000"/>
          <w:sz w:val="24"/>
          <w:szCs w:val="24"/>
        </w:rPr>
        <w:t xml:space="preserve"> (i.e. individual passwords).</w:t>
      </w:r>
    </w:p>
    <w:p w14:paraId="1892A8DF" w14:textId="77777777" w:rsidR="00F33F95" w:rsidRDefault="00F33F95" w:rsidP="00F33F95">
      <w:pPr>
        <w:spacing w:before="60" w:after="60"/>
        <w:ind w:left="547"/>
        <w:rPr>
          <w:color w:val="FF0000"/>
          <w:sz w:val="24"/>
          <w:szCs w:val="24"/>
        </w:rPr>
      </w:pPr>
    </w:p>
    <w:p w14:paraId="4D653B2B" w14:textId="77777777" w:rsidR="00D028DA" w:rsidRDefault="00D028DA" w:rsidP="00F33F95">
      <w:pPr>
        <w:rPr>
          <w:b/>
          <w:sz w:val="24"/>
          <w:szCs w:val="24"/>
          <w:u w:val="single"/>
        </w:rPr>
      </w:pPr>
      <w:r w:rsidRPr="00810F53">
        <w:rPr>
          <w:b/>
          <w:sz w:val="24"/>
          <w:szCs w:val="24"/>
          <w:u w:val="single"/>
        </w:rPr>
        <w:t>Procedures</w:t>
      </w:r>
      <w:r w:rsidR="00D85FE3" w:rsidRPr="00810F53">
        <w:rPr>
          <w:b/>
          <w:sz w:val="24"/>
          <w:szCs w:val="24"/>
          <w:u w:val="single"/>
        </w:rPr>
        <w:t xml:space="preserve"> for Implementation of the Safeguards</w:t>
      </w:r>
      <w:r w:rsidRPr="00810F53">
        <w:rPr>
          <w:b/>
          <w:sz w:val="24"/>
          <w:szCs w:val="24"/>
          <w:u w:val="single"/>
        </w:rPr>
        <w:t>:</w:t>
      </w:r>
    </w:p>
    <w:p w14:paraId="3F9BB763" w14:textId="77777777" w:rsidR="00F33F95" w:rsidRDefault="00F33F95" w:rsidP="00F33F95">
      <w:pPr>
        <w:rPr>
          <w:b/>
          <w:sz w:val="24"/>
          <w:szCs w:val="24"/>
          <w:u w:val="single"/>
        </w:rPr>
      </w:pPr>
    </w:p>
    <w:p w14:paraId="53D737D7" w14:textId="77777777" w:rsidR="00D028DA" w:rsidRPr="00810F53" w:rsidRDefault="00D028DA" w:rsidP="00F33F95">
      <w:pPr>
        <w:numPr>
          <w:ilvl w:val="0"/>
          <w:numId w:val="22"/>
        </w:numPr>
        <w:spacing w:before="60" w:after="60"/>
        <w:rPr>
          <w:sz w:val="24"/>
          <w:szCs w:val="24"/>
        </w:rPr>
      </w:pPr>
      <w:r w:rsidRPr="00810F53">
        <w:rPr>
          <w:sz w:val="24"/>
          <w:szCs w:val="24"/>
        </w:rPr>
        <w:t xml:space="preserve">Maintain an accounting of disclosures of protected health information on each </w:t>
      </w:r>
      <w:r w:rsidR="00D45B25" w:rsidRPr="00810F53">
        <w:rPr>
          <w:sz w:val="24"/>
          <w:szCs w:val="24"/>
        </w:rPr>
        <w:t>client or participant</w:t>
      </w:r>
      <w:r w:rsidRPr="00810F53">
        <w:rPr>
          <w:sz w:val="24"/>
          <w:szCs w:val="24"/>
        </w:rPr>
        <w:t xml:space="preserve"> for at least six years.</w:t>
      </w:r>
    </w:p>
    <w:p w14:paraId="02861C02" w14:textId="77777777" w:rsidR="00D028DA" w:rsidRPr="00810F53" w:rsidRDefault="00D028DA" w:rsidP="00F33F95">
      <w:pPr>
        <w:numPr>
          <w:ilvl w:val="0"/>
          <w:numId w:val="22"/>
        </w:numPr>
        <w:spacing w:before="60" w:after="60"/>
        <w:rPr>
          <w:sz w:val="24"/>
          <w:szCs w:val="24"/>
        </w:rPr>
      </w:pPr>
      <w:r w:rsidRPr="00810F53">
        <w:rPr>
          <w:sz w:val="24"/>
          <w:szCs w:val="24"/>
        </w:rPr>
        <w:t>Information that must be must be maintained (tracked) and included in an accounting:</w:t>
      </w:r>
    </w:p>
    <w:p w14:paraId="6DED3797" w14:textId="77777777" w:rsidR="00D028DA" w:rsidRPr="00810F53" w:rsidRDefault="00D028DA" w:rsidP="00F33F95">
      <w:pPr>
        <w:spacing w:before="60" w:after="60"/>
        <w:ind w:left="1440"/>
        <w:rPr>
          <w:sz w:val="24"/>
          <w:szCs w:val="24"/>
        </w:rPr>
      </w:pPr>
    </w:p>
    <w:p w14:paraId="407A84E8" w14:textId="77777777" w:rsidR="00D028DA" w:rsidRPr="00810F53" w:rsidRDefault="00D028DA" w:rsidP="00F33F95">
      <w:pPr>
        <w:numPr>
          <w:ilvl w:val="1"/>
          <w:numId w:val="22"/>
        </w:numPr>
        <w:spacing w:before="60" w:after="60"/>
        <w:rPr>
          <w:sz w:val="24"/>
          <w:szCs w:val="24"/>
        </w:rPr>
      </w:pPr>
      <w:r w:rsidRPr="00810F53">
        <w:rPr>
          <w:sz w:val="24"/>
          <w:szCs w:val="24"/>
        </w:rPr>
        <w:lastRenderedPageBreak/>
        <w:t>Date of disclosure.</w:t>
      </w:r>
    </w:p>
    <w:p w14:paraId="37499C29" w14:textId="77777777" w:rsidR="00D028DA" w:rsidRPr="00810F53" w:rsidRDefault="00D028DA" w:rsidP="00F33F95">
      <w:pPr>
        <w:numPr>
          <w:ilvl w:val="1"/>
          <w:numId w:val="22"/>
        </w:numPr>
        <w:spacing w:before="60" w:after="60"/>
        <w:rPr>
          <w:sz w:val="24"/>
          <w:szCs w:val="24"/>
        </w:rPr>
      </w:pPr>
      <w:r w:rsidRPr="00810F53">
        <w:rPr>
          <w:sz w:val="24"/>
          <w:szCs w:val="24"/>
        </w:rPr>
        <w:t>Name of individual or entity that received the information and their address, if known.</w:t>
      </w:r>
    </w:p>
    <w:p w14:paraId="1DF8AF9B" w14:textId="77777777" w:rsidR="00D028DA" w:rsidRPr="00810F53" w:rsidRDefault="00D028DA" w:rsidP="00F33F95">
      <w:pPr>
        <w:numPr>
          <w:ilvl w:val="1"/>
          <w:numId w:val="22"/>
        </w:numPr>
        <w:spacing w:before="60" w:after="60"/>
        <w:rPr>
          <w:sz w:val="24"/>
          <w:szCs w:val="24"/>
        </w:rPr>
      </w:pPr>
      <w:r w:rsidRPr="00810F53">
        <w:rPr>
          <w:sz w:val="24"/>
          <w:szCs w:val="24"/>
        </w:rPr>
        <w:t>Brief description of the protected health information disclosed.</w:t>
      </w:r>
    </w:p>
    <w:p w14:paraId="6875978F" w14:textId="77777777" w:rsidR="00D028DA" w:rsidRPr="00810F53" w:rsidRDefault="00D028DA" w:rsidP="00F33F95">
      <w:pPr>
        <w:numPr>
          <w:ilvl w:val="1"/>
          <w:numId w:val="22"/>
        </w:numPr>
        <w:spacing w:before="60" w:after="60"/>
        <w:rPr>
          <w:sz w:val="24"/>
          <w:szCs w:val="24"/>
        </w:rPr>
      </w:pPr>
      <w:r w:rsidRPr="00810F53">
        <w:rPr>
          <w:sz w:val="24"/>
          <w:szCs w:val="24"/>
        </w:rPr>
        <w:t>Brief statement of the purpose of the disclosure [or a copy of the individual’s written authorization] or a copy of the individual’s written request for disclosure.</w:t>
      </w:r>
    </w:p>
    <w:p w14:paraId="02444961" w14:textId="77777777" w:rsidR="00D028DA" w:rsidRPr="00810F53" w:rsidRDefault="00D028DA" w:rsidP="00F33F95">
      <w:pPr>
        <w:numPr>
          <w:ilvl w:val="1"/>
          <w:numId w:val="22"/>
        </w:numPr>
        <w:spacing w:before="60" w:after="60"/>
        <w:rPr>
          <w:sz w:val="24"/>
          <w:szCs w:val="24"/>
        </w:rPr>
      </w:pPr>
      <w:r w:rsidRPr="00810F53">
        <w:rPr>
          <w:sz w:val="24"/>
          <w:szCs w:val="24"/>
        </w:rPr>
        <w:t>Multiple disclosures to the same party for a single purpose [or pursuant to a single authorization] may have a summary entry.  A summary entry includes all information (2 a-d) for the first disclosure, the frequency with which disclosures were made, and the date of the last disclosure.</w:t>
      </w:r>
    </w:p>
    <w:p w14:paraId="10BFCE74" w14:textId="77777777" w:rsidR="00D028DA" w:rsidRPr="00810F53" w:rsidRDefault="00D028DA" w:rsidP="00F33F95">
      <w:pPr>
        <w:numPr>
          <w:ilvl w:val="0"/>
          <w:numId w:val="22"/>
        </w:numPr>
        <w:spacing w:before="60" w:after="60"/>
        <w:rPr>
          <w:sz w:val="24"/>
          <w:szCs w:val="24"/>
        </w:rPr>
      </w:pPr>
      <w:r w:rsidRPr="00810F53">
        <w:rPr>
          <w:sz w:val="24"/>
          <w:szCs w:val="24"/>
        </w:rPr>
        <w:t xml:space="preserve">Information </w:t>
      </w:r>
      <w:r w:rsidR="005826F3" w:rsidRPr="00810F53">
        <w:rPr>
          <w:sz w:val="24"/>
          <w:szCs w:val="24"/>
        </w:rPr>
        <w:t xml:space="preserve"> </w:t>
      </w:r>
      <w:r w:rsidRPr="00810F53">
        <w:rPr>
          <w:sz w:val="24"/>
          <w:szCs w:val="24"/>
        </w:rPr>
        <w:t>that is excluded from the accounting and tracking rule are disclosures made:</w:t>
      </w:r>
    </w:p>
    <w:p w14:paraId="2960052C" w14:textId="77777777" w:rsidR="00D028DA" w:rsidRPr="00810F53" w:rsidRDefault="00D028DA" w:rsidP="00F33F95">
      <w:pPr>
        <w:numPr>
          <w:ilvl w:val="1"/>
          <w:numId w:val="22"/>
        </w:numPr>
        <w:spacing w:before="60" w:after="60"/>
        <w:rPr>
          <w:sz w:val="24"/>
          <w:szCs w:val="24"/>
        </w:rPr>
      </w:pPr>
      <w:r w:rsidRPr="00810F53">
        <w:rPr>
          <w:sz w:val="24"/>
          <w:szCs w:val="24"/>
        </w:rPr>
        <w:t xml:space="preserve">Prior to </w:t>
      </w:r>
      <w:r w:rsidR="001D2738" w:rsidRPr="001D2738">
        <w:rPr>
          <w:color w:val="FF0000"/>
          <w:sz w:val="24"/>
          <w:szCs w:val="24"/>
        </w:rPr>
        <w:t>compliance deadline</w:t>
      </w:r>
      <w:r w:rsidRPr="00810F53">
        <w:rPr>
          <w:sz w:val="24"/>
          <w:szCs w:val="24"/>
        </w:rPr>
        <w:t xml:space="preserve"> or prior to the entity’s date of compliance with the privacy standards.</w:t>
      </w:r>
    </w:p>
    <w:p w14:paraId="63B328F9" w14:textId="77777777" w:rsidR="00D028DA" w:rsidRPr="00810F53" w:rsidRDefault="00D028DA" w:rsidP="00F33F95">
      <w:pPr>
        <w:numPr>
          <w:ilvl w:val="1"/>
          <w:numId w:val="22"/>
        </w:numPr>
        <w:spacing w:before="60" w:after="60"/>
        <w:rPr>
          <w:sz w:val="24"/>
          <w:szCs w:val="24"/>
        </w:rPr>
      </w:pPr>
      <w:r w:rsidRPr="00810F53">
        <w:rPr>
          <w:sz w:val="24"/>
          <w:szCs w:val="24"/>
        </w:rPr>
        <w:t>To law enforcement or correctional institutions as provided in state law.</w:t>
      </w:r>
    </w:p>
    <w:p w14:paraId="6B37B6F0" w14:textId="77777777" w:rsidR="00D028DA" w:rsidRPr="00810F53" w:rsidRDefault="00D028DA" w:rsidP="00F33F95">
      <w:pPr>
        <w:numPr>
          <w:ilvl w:val="1"/>
          <w:numId w:val="22"/>
        </w:numPr>
        <w:spacing w:before="60" w:after="60"/>
        <w:rPr>
          <w:sz w:val="24"/>
          <w:szCs w:val="24"/>
        </w:rPr>
      </w:pPr>
      <w:r w:rsidRPr="00810F53">
        <w:rPr>
          <w:sz w:val="24"/>
          <w:szCs w:val="24"/>
        </w:rPr>
        <w:t>For facility directories.</w:t>
      </w:r>
    </w:p>
    <w:p w14:paraId="53721743" w14:textId="77777777" w:rsidR="00D028DA" w:rsidRPr="00810F53" w:rsidRDefault="00D028DA" w:rsidP="00F33F95">
      <w:pPr>
        <w:numPr>
          <w:ilvl w:val="1"/>
          <w:numId w:val="22"/>
        </w:numPr>
        <w:spacing w:before="60" w:after="60"/>
        <w:rPr>
          <w:sz w:val="24"/>
          <w:szCs w:val="24"/>
        </w:rPr>
      </w:pPr>
      <w:r w:rsidRPr="00810F53">
        <w:rPr>
          <w:sz w:val="24"/>
          <w:szCs w:val="24"/>
        </w:rPr>
        <w:t xml:space="preserve">To the individual </w:t>
      </w:r>
      <w:r w:rsidR="00D45B25" w:rsidRPr="00810F53">
        <w:rPr>
          <w:sz w:val="24"/>
          <w:szCs w:val="24"/>
        </w:rPr>
        <w:t>client or participant</w:t>
      </w:r>
      <w:r w:rsidRPr="00810F53">
        <w:rPr>
          <w:sz w:val="24"/>
          <w:szCs w:val="24"/>
        </w:rPr>
        <w:t>.</w:t>
      </w:r>
    </w:p>
    <w:p w14:paraId="5AF34BC4" w14:textId="77777777" w:rsidR="00D028DA" w:rsidRPr="00810F53" w:rsidRDefault="00D028DA" w:rsidP="00F33F95">
      <w:pPr>
        <w:numPr>
          <w:ilvl w:val="1"/>
          <w:numId w:val="22"/>
        </w:numPr>
        <w:spacing w:before="60" w:after="60"/>
        <w:rPr>
          <w:sz w:val="24"/>
          <w:szCs w:val="24"/>
        </w:rPr>
      </w:pPr>
      <w:r w:rsidRPr="00810F53">
        <w:rPr>
          <w:sz w:val="24"/>
          <w:szCs w:val="24"/>
        </w:rPr>
        <w:t>For national security or intelligence purposes.</w:t>
      </w:r>
    </w:p>
    <w:p w14:paraId="42AE83A8" w14:textId="77777777" w:rsidR="00D028DA" w:rsidRPr="00810F53" w:rsidRDefault="00D028DA" w:rsidP="00F33F95">
      <w:pPr>
        <w:numPr>
          <w:ilvl w:val="1"/>
          <w:numId w:val="22"/>
        </w:numPr>
        <w:spacing w:before="60" w:after="60"/>
        <w:rPr>
          <w:sz w:val="24"/>
          <w:szCs w:val="24"/>
        </w:rPr>
      </w:pPr>
      <w:r w:rsidRPr="00810F53">
        <w:rPr>
          <w:sz w:val="24"/>
          <w:szCs w:val="24"/>
        </w:rPr>
        <w:t xml:space="preserve">To people involved in the </w:t>
      </w:r>
      <w:r w:rsidR="00D45B25" w:rsidRPr="00810F53">
        <w:rPr>
          <w:sz w:val="24"/>
          <w:szCs w:val="24"/>
        </w:rPr>
        <w:t>client or participant</w:t>
      </w:r>
      <w:r w:rsidRPr="00810F53">
        <w:rPr>
          <w:sz w:val="24"/>
          <w:szCs w:val="24"/>
        </w:rPr>
        <w:t>’s care.</w:t>
      </w:r>
    </w:p>
    <w:p w14:paraId="3BFD9B9F" w14:textId="77777777" w:rsidR="00D028DA" w:rsidRPr="00810F53" w:rsidRDefault="00D028DA" w:rsidP="00F33F95">
      <w:pPr>
        <w:numPr>
          <w:ilvl w:val="1"/>
          <w:numId w:val="22"/>
        </w:numPr>
        <w:spacing w:before="60" w:after="60"/>
        <w:rPr>
          <w:sz w:val="24"/>
          <w:szCs w:val="24"/>
        </w:rPr>
      </w:pPr>
      <w:r w:rsidRPr="00810F53">
        <w:rPr>
          <w:sz w:val="24"/>
          <w:szCs w:val="24"/>
        </w:rPr>
        <w:t>For notification purposes including identifying and locating a family member.</w:t>
      </w:r>
    </w:p>
    <w:p w14:paraId="0B480991" w14:textId="77777777" w:rsidR="00D028DA" w:rsidRPr="00810F53" w:rsidRDefault="00D028DA" w:rsidP="00F33F95">
      <w:pPr>
        <w:numPr>
          <w:ilvl w:val="1"/>
          <w:numId w:val="22"/>
        </w:numPr>
        <w:spacing w:before="60" w:after="60"/>
        <w:rPr>
          <w:sz w:val="24"/>
          <w:szCs w:val="24"/>
        </w:rPr>
      </w:pPr>
      <w:r w:rsidRPr="00810F53">
        <w:rPr>
          <w:sz w:val="24"/>
          <w:szCs w:val="24"/>
        </w:rPr>
        <w:t>For treatment, payment, and healthcare operations.</w:t>
      </w:r>
    </w:p>
    <w:p w14:paraId="65A3BB3E" w14:textId="77777777" w:rsidR="00D028DA" w:rsidRPr="00810F53" w:rsidRDefault="00D028DA" w:rsidP="00F33F95">
      <w:pPr>
        <w:numPr>
          <w:ilvl w:val="1"/>
          <w:numId w:val="22"/>
        </w:numPr>
        <w:spacing w:before="60" w:after="60"/>
        <w:rPr>
          <w:sz w:val="24"/>
          <w:szCs w:val="24"/>
        </w:rPr>
      </w:pPr>
      <w:r w:rsidRPr="00810F53">
        <w:rPr>
          <w:sz w:val="24"/>
          <w:szCs w:val="24"/>
        </w:rPr>
        <w:t>[Pursuant to an individual’s authorization]</w:t>
      </w:r>
    </w:p>
    <w:p w14:paraId="555322DF" w14:textId="77777777" w:rsidR="00D028DA" w:rsidRPr="00810F53" w:rsidRDefault="00D028DA" w:rsidP="00F33F95">
      <w:pPr>
        <w:numPr>
          <w:ilvl w:val="0"/>
          <w:numId w:val="22"/>
        </w:numPr>
        <w:spacing w:before="60" w:after="60"/>
        <w:rPr>
          <w:sz w:val="24"/>
          <w:szCs w:val="24"/>
        </w:rPr>
      </w:pPr>
      <w:r w:rsidRPr="00810F53">
        <w:rPr>
          <w:sz w:val="24"/>
          <w:szCs w:val="24"/>
        </w:rPr>
        <w:t>All other disclosures of protected health information must be tracked.  Disclosures are not limited to hard-copy information but any manner that divulges information, including verbal or electronic data release.</w:t>
      </w:r>
    </w:p>
    <w:p w14:paraId="716DADAF" w14:textId="77777777" w:rsidR="00D028DA" w:rsidRPr="00810F53" w:rsidRDefault="00D028DA" w:rsidP="00F33F95">
      <w:pPr>
        <w:numPr>
          <w:ilvl w:val="0"/>
          <w:numId w:val="22"/>
        </w:numPr>
        <w:spacing w:before="60" w:after="60"/>
        <w:rPr>
          <w:sz w:val="24"/>
          <w:szCs w:val="24"/>
        </w:rPr>
      </w:pPr>
      <w:r w:rsidRPr="00810F53">
        <w:rPr>
          <w:sz w:val="24"/>
          <w:szCs w:val="24"/>
        </w:rPr>
        <w:t>Disclosures may be tracked by a variety of internal processes that ensure accurate and complete accounting of disclosures.</w:t>
      </w:r>
    </w:p>
    <w:p w14:paraId="17AD0943" w14:textId="77777777" w:rsidR="00D028DA" w:rsidRPr="00810F53" w:rsidRDefault="00D028DA" w:rsidP="00F33F95">
      <w:pPr>
        <w:pStyle w:val="Header"/>
        <w:numPr>
          <w:ilvl w:val="1"/>
          <w:numId w:val="22"/>
        </w:numPr>
        <w:tabs>
          <w:tab w:val="clear" w:pos="4320"/>
          <w:tab w:val="clear" w:pos="8640"/>
        </w:tabs>
        <w:spacing w:before="60" w:after="60"/>
        <w:rPr>
          <w:szCs w:val="24"/>
        </w:rPr>
      </w:pPr>
      <w:r w:rsidRPr="00810F53">
        <w:rPr>
          <w:szCs w:val="24"/>
        </w:rPr>
        <w:t xml:space="preserve">Computerized tracking systems that </w:t>
      </w:r>
      <w:proofErr w:type="gramStart"/>
      <w:r w:rsidRPr="00810F53">
        <w:rPr>
          <w:szCs w:val="24"/>
        </w:rPr>
        <w:t>have the ability to</w:t>
      </w:r>
      <w:proofErr w:type="gramEnd"/>
      <w:r w:rsidRPr="00810F53">
        <w:rPr>
          <w:szCs w:val="24"/>
        </w:rPr>
        <w:t xml:space="preserve"> sort by individual and/or date.  </w:t>
      </w:r>
    </w:p>
    <w:p w14:paraId="64491E63" w14:textId="77777777" w:rsidR="0081173E" w:rsidRPr="00810F53" w:rsidRDefault="00D028DA" w:rsidP="00F33F95">
      <w:pPr>
        <w:pStyle w:val="Header"/>
        <w:numPr>
          <w:ilvl w:val="1"/>
          <w:numId w:val="22"/>
        </w:numPr>
        <w:tabs>
          <w:tab w:val="clear" w:pos="4320"/>
          <w:tab w:val="clear" w:pos="8640"/>
        </w:tabs>
        <w:spacing w:before="60" w:after="60"/>
        <w:jc w:val="both"/>
        <w:rPr>
          <w:szCs w:val="24"/>
        </w:rPr>
      </w:pPr>
      <w:r w:rsidRPr="00810F53">
        <w:rPr>
          <w:szCs w:val="24"/>
        </w:rPr>
        <w:t xml:space="preserve">Manual logs with one log per </w:t>
      </w:r>
      <w:r w:rsidR="00D45B25" w:rsidRPr="00810F53">
        <w:rPr>
          <w:szCs w:val="24"/>
        </w:rPr>
        <w:t>client or participant</w:t>
      </w:r>
      <w:r w:rsidRPr="00810F53">
        <w:rPr>
          <w:szCs w:val="24"/>
        </w:rPr>
        <w:t xml:space="preserve"> maintained in the </w:t>
      </w:r>
      <w:r w:rsidR="00D45B25" w:rsidRPr="00810F53">
        <w:rPr>
          <w:szCs w:val="24"/>
        </w:rPr>
        <w:t>client or participant</w:t>
      </w:r>
      <w:r w:rsidRPr="00810F53">
        <w:rPr>
          <w:szCs w:val="24"/>
        </w:rPr>
        <w:t xml:space="preserve">’s health record </w:t>
      </w:r>
      <w:r w:rsidR="00635322" w:rsidRPr="00810F53">
        <w:rPr>
          <w:szCs w:val="24"/>
        </w:rPr>
        <w:t xml:space="preserve">using the </w:t>
      </w:r>
      <w:r w:rsidR="008E4BBB" w:rsidRPr="00810F53">
        <w:rPr>
          <w:szCs w:val="24"/>
        </w:rPr>
        <w:t>organization’s</w:t>
      </w:r>
      <w:r w:rsidR="00635322" w:rsidRPr="00810F53">
        <w:rPr>
          <w:szCs w:val="24"/>
        </w:rPr>
        <w:t xml:space="preserve"> “</w:t>
      </w:r>
      <w:r w:rsidRPr="00810F53">
        <w:rPr>
          <w:szCs w:val="24"/>
        </w:rPr>
        <w:t>Disclosure Log</w:t>
      </w:r>
      <w:r w:rsidR="00635322" w:rsidRPr="00810F53">
        <w:rPr>
          <w:szCs w:val="24"/>
        </w:rPr>
        <w:t>”</w:t>
      </w:r>
      <w:r w:rsidR="00635322" w:rsidRPr="00810F53">
        <w:rPr>
          <w:i/>
          <w:szCs w:val="24"/>
        </w:rPr>
        <w:t>.</w:t>
      </w:r>
    </w:p>
    <w:p w14:paraId="641FAE01" w14:textId="77777777" w:rsidR="00D028DA" w:rsidRPr="00810F53" w:rsidRDefault="00D028DA" w:rsidP="00F33F95">
      <w:pPr>
        <w:pStyle w:val="Header"/>
        <w:numPr>
          <w:ilvl w:val="1"/>
          <w:numId w:val="22"/>
        </w:numPr>
        <w:tabs>
          <w:tab w:val="clear" w:pos="4320"/>
          <w:tab w:val="clear" w:pos="8640"/>
        </w:tabs>
        <w:spacing w:before="60" w:after="60"/>
        <w:jc w:val="both"/>
      </w:pPr>
      <w:r w:rsidRPr="00810F53">
        <w:t xml:space="preserve">Authorization forms maintained in the </w:t>
      </w:r>
      <w:r w:rsidR="00D45B25" w:rsidRPr="00810F53">
        <w:t>client or participant</w:t>
      </w:r>
      <w:r w:rsidRPr="00810F53">
        <w:t>’s health record.</w:t>
      </w:r>
    </w:p>
    <w:p w14:paraId="2E6347BD" w14:textId="77777777" w:rsidR="00D028DA" w:rsidRPr="00F33F95" w:rsidRDefault="00D028DA" w:rsidP="00F33F95">
      <w:pPr>
        <w:numPr>
          <w:ilvl w:val="0"/>
          <w:numId w:val="22"/>
        </w:numPr>
        <w:spacing w:before="60" w:after="60"/>
        <w:rPr>
          <w:sz w:val="24"/>
          <w:szCs w:val="24"/>
        </w:rPr>
      </w:pPr>
      <w:r w:rsidRPr="00F33F95">
        <w:rPr>
          <w:sz w:val="24"/>
          <w:szCs w:val="24"/>
        </w:rPr>
        <w:t xml:space="preserve">All systems must be maintained and accessible for a period of at least six years to meet the requirement of providing an accounting of disclosures for that </w:t>
      </w:r>
      <w:proofErr w:type="gramStart"/>
      <w:r w:rsidRPr="00F33F95">
        <w:rPr>
          <w:sz w:val="24"/>
          <w:szCs w:val="24"/>
        </w:rPr>
        <w:t>time period</w:t>
      </w:r>
      <w:proofErr w:type="gramEnd"/>
      <w:r w:rsidRPr="00F33F95">
        <w:rPr>
          <w:sz w:val="24"/>
          <w:szCs w:val="24"/>
        </w:rPr>
        <w:t>.</w:t>
      </w:r>
    </w:p>
    <w:p w14:paraId="31C3DC4D" w14:textId="77777777" w:rsidR="00D028DA" w:rsidRPr="00810F53" w:rsidRDefault="00D028DA" w:rsidP="00F33F95">
      <w:pPr>
        <w:numPr>
          <w:ilvl w:val="0"/>
          <w:numId w:val="22"/>
        </w:numPr>
        <w:spacing w:before="60" w:after="60"/>
        <w:rPr>
          <w:sz w:val="24"/>
          <w:szCs w:val="24"/>
        </w:rPr>
      </w:pPr>
      <w:r w:rsidRPr="00810F53">
        <w:rPr>
          <w:sz w:val="24"/>
          <w:szCs w:val="24"/>
        </w:rPr>
        <w:t>Disclosur</w:t>
      </w:r>
      <w:r w:rsidR="00D45B25" w:rsidRPr="00810F53">
        <w:rPr>
          <w:sz w:val="24"/>
          <w:szCs w:val="24"/>
        </w:rPr>
        <w:t xml:space="preserve">es that are not accompanied by </w:t>
      </w:r>
      <w:r w:rsidRPr="00810F53">
        <w:rPr>
          <w:sz w:val="24"/>
          <w:szCs w:val="24"/>
        </w:rPr>
        <w:t>an authorization or a written request must be tracked by alternative computerized or hard-copy mechanisms.</w:t>
      </w:r>
    </w:p>
    <w:p w14:paraId="41E74A1E" w14:textId="77777777" w:rsidR="00D028DA" w:rsidRPr="00810F53" w:rsidRDefault="00D028DA" w:rsidP="00F33F95">
      <w:pPr>
        <w:numPr>
          <w:ilvl w:val="0"/>
          <w:numId w:val="22"/>
        </w:numPr>
        <w:spacing w:before="60" w:after="60"/>
        <w:rPr>
          <w:sz w:val="24"/>
          <w:szCs w:val="24"/>
        </w:rPr>
      </w:pPr>
      <w:r w:rsidRPr="00810F53">
        <w:rPr>
          <w:sz w:val="24"/>
          <w:szCs w:val="24"/>
        </w:rPr>
        <w:t xml:space="preserve">A </w:t>
      </w:r>
      <w:r w:rsidR="00D45B25" w:rsidRPr="00810F53">
        <w:rPr>
          <w:sz w:val="24"/>
          <w:szCs w:val="24"/>
        </w:rPr>
        <w:t>client or participant</w:t>
      </w:r>
      <w:r w:rsidRPr="00810F53">
        <w:rPr>
          <w:sz w:val="24"/>
          <w:szCs w:val="24"/>
        </w:rPr>
        <w:t xml:space="preserve"> may make the request for an accounting in writing or orally.  If the request is made orally, the </w:t>
      </w:r>
      <w:r w:rsidR="00E22BBC" w:rsidRPr="00810F53">
        <w:rPr>
          <w:sz w:val="24"/>
          <w:szCs w:val="24"/>
        </w:rPr>
        <w:t>department must</w:t>
      </w:r>
      <w:r w:rsidRPr="00810F53">
        <w:rPr>
          <w:sz w:val="24"/>
          <w:szCs w:val="24"/>
        </w:rPr>
        <w:t xml:space="preserve"> document such on the general “Authorization” form or a </w:t>
      </w:r>
      <w:r w:rsidRPr="00810F53">
        <w:rPr>
          <w:sz w:val="24"/>
          <w:szCs w:val="24"/>
        </w:rPr>
        <w:lastRenderedPageBreak/>
        <w:t>“Request for an Accounting of Disclosures” form</w:t>
      </w:r>
      <w:r w:rsidRPr="00810F53">
        <w:rPr>
          <w:i/>
          <w:sz w:val="24"/>
          <w:szCs w:val="24"/>
        </w:rPr>
        <w:t>.</w:t>
      </w:r>
      <w:r w:rsidRPr="00810F53">
        <w:rPr>
          <w:sz w:val="24"/>
          <w:szCs w:val="24"/>
        </w:rPr>
        <w:t xml:space="preserve">  The </w:t>
      </w:r>
      <w:r w:rsidR="00E22BBC" w:rsidRPr="00810F53">
        <w:rPr>
          <w:sz w:val="24"/>
          <w:szCs w:val="24"/>
        </w:rPr>
        <w:t>department</w:t>
      </w:r>
      <w:r w:rsidRPr="00810F53">
        <w:rPr>
          <w:sz w:val="24"/>
          <w:szCs w:val="24"/>
        </w:rPr>
        <w:t xml:space="preserve"> must retain this request and a copy of the written accounting that was provided to the </w:t>
      </w:r>
      <w:r w:rsidR="00D45B25" w:rsidRPr="00810F53">
        <w:rPr>
          <w:sz w:val="24"/>
          <w:szCs w:val="24"/>
        </w:rPr>
        <w:t>client or participant</w:t>
      </w:r>
      <w:r w:rsidRPr="00810F53">
        <w:rPr>
          <w:sz w:val="24"/>
          <w:szCs w:val="24"/>
        </w:rPr>
        <w:t>, as well as the name/departments responsible for the completion of the accounting.</w:t>
      </w:r>
    </w:p>
    <w:p w14:paraId="61133A10" w14:textId="77777777" w:rsidR="00D028DA" w:rsidRPr="00810F53" w:rsidRDefault="00D028DA" w:rsidP="00F33F95">
      <w:pPr>
        <w:numPr>
          <w:ilvl w:val="0"/>
          <w:numId w:val="22"/>
        </w:numPr>
        <w:spacing w:before="60" w:after="60"/>
        <w:rPr>
          <w:sz w:val="24"/>
          <w:szCs w:val="24"/>
        </w:rPr>
      </w:pPr>
      <w:r w:rsidRPr="00810F53">
        <w:rPr>
          <w:sz w:val="24"/>
          <w:szCs w:val="24"/>
        </w:rPr>
        <w:t xml:space="preserve">A </w:t>
      </w:r>
      <w:r w:rsidR="00D45B25" w:rsidRPr="00810F53">
        <w:rPr>
          <w:sz w:val="24"/>
          <w:szCs w:val="24"/>
        </w:rPr>
        <w:t>client or participant</w:t>
      </w:r>
      <w:r w:rsidRPr="00810F53">
        <w:rPr>
          <w:sz w:val="24"/>
          <w:szCs w:val="24"/>
        </w:rPr>
        <w:t xml:space="preserve"> may authorize in writing that the accounting of disclosures be released to another individual or entity.  The request must clearly identify all information required to carry out the request (name, address, phone number, etc.).</w:t>
      </w:r>
    </w:p>
    <w:p w14:paraId="39A7577F" w14:textId="77777777" w:rsidR="00D028DA" w:rsidRPr="00810F53" w:rsidRDefault="00D028DA" w:rsidP="00F33F95">
      <w:pPr>
        <w:numPr>
          <w:ilvl w:val="0"/>
          <w:numId w:val="22"/>
        </w:numPr>
        <w:spacing w:before="60" w:after="60"/>
        <w:rPr>
          <w:sz w:val="24"/>
          <w:szCs w:val="24"/>
        </w:rPr>
      </w:pPr>
      <w:r w:rsidRPr="00810F53">
        <w:rPr>
          <w:sz w:val="24"/>
          <w:szCs w:val="24"/>
        </w:rPr>
        <w:t>Provide the individual with an accounting of disclosures within 60 days after receipt of the request.</w:t>
      </w:r>
    </w:p>
    <w:p w14:paraId="63D47B40" w14:textId="77777777" w:rsidR="00D028DA" w:rsidRPr="00810F53" w:rsidRDefault="00D028DA" w:rsidP="00F33F95">
      <w:pPr>
        <w:pStyle w:val="BodyTextIndent"/>
        <w:numPr>
          <w:ilvl w:val="1"/>
          <w:numId w:val="22"/>
        </w:numPr>
        <w:tabs>
          <w:tab w:val="clear" w:pos="360"/>
        </w:tabs>
        <w:spacing w:before="60" w:after="60"/>
        <w:rPr>
          <w:szCs w:val="24"/>
        </w:rPr>
      </w:pPr>
      <w:r w:rsidRPr="00810F53">
        <w:rPr>
          <w:szCs w:val="24"/>
        </w:rPr>
        <w:t>If the accounting cannot be completed within 60 days after receipt of the request, provide the individual with a written statement of the reason for the delay and the expected completion date.  Only one extension of time, 30 days maximum, per request is permitted.</w:t>
      </w:r>
    </w:p>
    <w:p w14:paraId="69893777" w14:textId="77777777" w:rsidR="00D028DA" w:rsidRPr="00810F53" w:rsidRDefault="00D028DA" w:rsidP="00F33F95">
      <w:pPr>
        <w:pStyle w:val="BodyTextIndent"/>
        <w:numPr>
          <w:ilvl w:val="1"/>
          <w:numId w:val="22"/>
        </w:numPr>
        <w:tabs>
          <w:tab w:val="clear" w:pos="360"/>
        </w:tabs>
        <w:spacing w:before="60" w:after="60"/>
        <w:rPr>
          <w:szCs w:val="24"/>
        </w:rPr>
      </w:pPr>
      <w:r w:rsidRPr="00810F53">
        <w:rPr>
          <w:szCs w:val="24"/>
        </w:rPr>
        <w:t>Requests can cover a period of up to six years prior to the date of the request.</w:t>
      </w:r>
    </w:p>
    <w:p w14:paraId="5021BBAD" w14:textId="77777777" w:rsidR="00D028DA" w:rsidRPr="00810F53" w:rsidRDefault="00D028DA" w:rsidP="00F33F95">
      <w:pPr>
        <w:pStyle w:val="BodyTextIndent"/>
        <w:numPr>
          <w:ilvl w:val="0"/>
          <w:numId w:val="22"/>
        </w:numPr>
        <w:tabs>
          <w:tab w:val="clear" w:pos="360"/>
          <w:tab w:val="clear" w:pos="1080"/>
        </w:tabs>
        <w:spacing w:before="60" w:after="60"/>
        <w:rPr>
          <w:szCs w:val="24"/>
        </w:rPr>
      </w:pPr>
      <w:r w:rsidRPr="00810F53">
        <w:rPr>
          <w:szCs w:val="24"/>
        </w:rPr>
        <w:t>Provide the accounting to the individual at no charge for a request made once during any twelve-month period.  A reasonable fee can be charged for any additional requests made during a twelve-month period provided that the individual is informed of the fee in advance and given an opportunity to withdraw or modify the request.</w:t>
      </w:r>
    </w:p>
    <w:p w14:paraId="3929C7D2" w14:textId="77777777" w:rsidR="00D028DA" w:rsidRPr="00810F53" w:rsidRDefault="00D028DA" w:rsidP="00F33F95">
      <w:pPr>
        <w:pStyle w:val="BodyTextIndent"/>
        <w:numPr>
          <w:ilvl w:val="0"/>
          <w:numId w:val="22"/>
        </w:numPr>
        <w:tabs>
          <w:tab w:val="clear" w:pos="360"/>
          <w:tab w:val="clear" w:pos="1080"/>
        </w:tabs>
        <w:spacing w:before="60" w:after="60"/>
        <w:rPr>
          <w:szCs w:val="24"/>
        </w:rPr>
      </w:pPr>
      <w:r w:rsidRPr="00810F53">
        <w:rPr>
          <w:szCs w:val="24"/>
        </w:rPr>
        <w:t xml:space="preserve">Maintain written requests for an </w:t>
      </w:r>
      <w:proofErr w:type="gramStart"/>
      <w:r w:rsidRPr="00810F53">
        <w:rPr>
          <w:szCs w:val="24"/>
        </w:rPr>
        <w:t>accounting and written accountings</w:t>
      </w:r>
      <w:proofErr w:type="gramEnd"/>
      <w:r w:rsidRPr="00810F53">
        <w:rPr>
          <w:szCs w:val="24"/>
        </w:rPr>
        <w:t xml:space="preserve"> provided to an individual for at least six years from the date it was created.</w:t>
      </w:r>
    </w:p>
    <w:p w14:paraId="12E39351" w14:textId="77777777" w:rsidR="00D028DA" w:rsidRPr="00810F53" w:rsidRDefault="00D028DA" w:rsidP="00F33F95">
      <w:pPr>
        <w:pStyle w:val="BodyTextIndent"/>
        <w:numPr>
          <w:ilvl w:val="1"/>
          <w:numId w:val="22"/>
        </w:numPr>
        <w:tabs>
          <w:tab w:val="clear" w:pos="360"/>
        </w:tabs>
        <w:spacing w:before="60" w:after="60"/>
        <w:rPr>
          <w:szCs w:val="24"/>
        </w:rPr>
      </w:pPr>
      <w:r w:rsidRPr="00810F53">
        <w:rPr>
          <w:szCs w:val="24"/>
        </w:rPr>
        <w:t>Maintain the titles and names of the people responsible for receiving and processing accounting requests for a period of at least six years.</w:t>
      </w:r>
    </w:p>
    <w:p w14:paraId="3F973D9A" w14:textId="77777777" w:rsidR="00D028DA" w:rsidRPr="00810F53" w:rsidRDefault="00D028DA" w:rsidP="001D2738">
      <w:pPr>
        <w:numPr>
          <w:ilvl w:val="0"/>
          <w:numId w:val="22"/>
        </w:numPr>
        <w:spacing w:before="60" w:after="60"/>
        <w:rPr>
          <w:b/>
          <w:sz w:val="24"/>
          <w:szCs w:val="24"/>
        </w:rPr>
      </w:pPr>
      <w:r w:rsidRPr="00810F53">
        <w:rPr>
          <w:sz w:val="24"/>
          <w:szCs w:val="24"/>
        </w:rPr>
        <w:t xml:space="preserve">Safeguarding confidential information – </w:t>
      </w:r>
      <w:r w:rsidR="00E614CF" w:rsidRPr="00810F53">
        <w:rPr>
          <w:sz w:val="24"/>
          <w:szCs w:val="24"/>
        </w:rPr>
        <w:t>Orga</w:t>
      </w:r>
      <w:r w:rsidR="005826F3" w:rsidRPr="00810F53">
        <w:rPr>
          <w:sz w:val="24"/>
          <w:szCs w:val="24"/>
        </w:rPr>
        <w:t>nizational</w:t>
      </w:r>
      <w:r w:rsidRPr="00810F53">
        <w:rPr>
          <w:sz w:val="24"/>
          <w:szCs w:val="24"/>
        </w:rPr>
        <w:t xml:space="preserve"> workplace practices</w:t>
      </w:r>
    </w:p>
    <w:p w14:paraId="2823191C" w14:textId="77777777" w:rsidR="00D028DA" w:rsidRPr="00810F53" w:rsidRDefault="00D028DA" w:rsidP="00F33F95">
      <w:pPr>
        <w:numPr>
          <w:ilvl w:val="1"/>
          <w:numId w:val="22"/>
        </w:numPr>
        <w:spacing w:before="60" w:after="60"/>
        <w:rPr>
          <w:sz w:val="24"/>
          <w:szCs w:val="24"/>
        </w:rPr>
      </w:pPr>
      <w:r w:rsidRPr="00810F53">
        <w:rPr>
          <w:sz w:val="24"/>
          <w:szCs w:val="24"/>
        </w:rPr>
        <w:t xml:space="preserve">Paper </w:t>
      </w:r>
      <w:r w:rsidR="00916271" w:rsidRPr="00810F53">
        <w:rPr>
          <w:sz w:val="24"/>
          <w:szCs w:val="24"/>
        </w:rPr>
        <w:t>Safeguards</w:t>
      </w:r>
    </w:p>
    <w:p w14:paraId="65870AAE" w14:textId="77777777" w:rsidR="00D028DA" w:rsidRPr="00810F53" w:rsidRDefault="00D028DA" w:rsidP="00F33F95">
      <w:pPr>
        <w:numPr>
          <w:ilvl w:val="2"/>
          <w:numId w:val="22"/>
        </w:numPr>
        <w:spacing w:before="60" w:after="60"/>
        <w:rPr>
          <w:sz w:val="24"/>
          <w:szCs w:val="24"/>
        </w:rPr>
      </w:pPr>
      <w:r w:rsidRPr="00810F53">
        <w:rPr>
          <w:sz w:val="24"/>
          <w:szCs w:val="24"/>
        </w:rPr>
        <w:t>Files and documents being stored:</w:t>
      </w:r>
    </w:p>
    <w:p w14:paraId="08B1A84E" w14:textId="77777777" w:rsidR="00D028DA" w:rsidRPr="00810F53" w:rsidRDefault="009B78EB" w:rsidP="00F33F95">
      <w:pPr>
        <w:numPr>
          <w:ilvl w:val="3"/>
          <w:numId w:val="15"/>
        </w:numPr>
        <w:spacing w:before="60" w:after="60"/>
        <w:rPr>
          <w:sz w:val="24"/>
          <w:szCs w:val="24"/>
        </w:rPr>
      </w:pPr>
      <w:r w:rsidRPr="00810F53">
        <w:rPr>
          <w:color w:val="FF0000"/>
          <w:sz w:val="24"/>
          <w:szCs w:val="24"/>
        </w:rPr>
        <w:t>Provide a list of measures that the organization is implementing to reasonably safeguard files and documents that are being stored.</w:t>
      </w:r>
    </w:p>
    <w:p w14:paraId="22926BD0" w14:textId="77777777" w:rsidR="00D028DA" w:rsidRPr="00810F53" w:rsidRDefault="00D028DA" w:rsidP="00F33F95">
      <w:pPr>
        <w:numPr>
          <w:ilvl w:val="2"/>
          <w:numId w:val="22"/>
        </w:numPr>
        <w:spacing w:before="60" w:after="60"/>
        <w:rPr>
          <w:sz w:val="24"/>
          <w:szCs w:val="24"/>
        </w:rPr>
      </w:pPr>
      <w:r w:rsidRPr="00810F53">
        <w:rPr>
          <w:sz w:val="24"/>
          <w:szCs w:val="24"/>
        </w:rPr>
        <w:t xml:space="preserve">Files and documents awaiting disposal/destruction:   </w:t>
      </w:r>
    </w:p>
    <w:p w14:paraId="663EDC3B" w14:textId="77777777" w:rsidR="00D028DA" w:rsidRPr="00810F53" w:rsidRDefault="009B78EB" w:rsidP="00F33F95">
      <w:pPr>
        <w:numPr>
          <w:ilvl w:val="3"/>
          <w:numId w:val="22"/>
        </w:numPr>
        <w:spacing w:before="60" w:after="60"/>
        <w:rPr>
          <w:sz w:val="24"/>
          <w:szCs w:val="24"/>
        </w:rPr>
      </w:pPr>
      <w:r w:rsidRPr="00810F53">
        <w:rPr>
          <w:color w:val="FF0000"/>
          <w:sz w:val="24"/>
          <w:szCs w:val="24"/>
        </w:rPr>
        <w:t>Provide a list of measures that the organization is implementing to reasonably safeguard files and documents that are awaiting disposal/destruction.</w:t>
      </w:r>
    </w:p>
    <w:p w14:paraId="1493C330" w14:textId="77777777" w:rsidR="00D028DA" w:rsidRPr="00810F53" w:rsidRDefault="00D028DA" w:rsidP="00F33F95">
      <w:pPr>
        <w:numPr>
          <w:ilvl w:val="2"/>
          <w:numId w:val="22"/>
        </w:numPr>
        <w:spacing w:before="60" w:after="60"/>
        <w:rPr>
          <w:sz w:val="24"/>
          <w:szCs w:val="24"/>
        </w:rPr>
      </w:pPr>
      <w:r w:rsidRPr="00810F53">
        <w:rPr>
          <w:sz w:val="24"/>
          <w:szCs w:val="24"/>
        </w:rPr>
        <w:t xml:space="preserve">Shredding of files and documents authorized consistent with record retention requirements:  </w:t>
      </w:r>
    </w:p>
    <w:p w14:paraId="03B3D6AB" w14:textId="77777777" w:rsidR="00916271" w:rsidRPr="00810F53" w:rsidRDefault="009B78EB" w:rsidP="00F33F95">
      <w:pPr>
        <w:numPr>
          <w:ilvl w:val="3"/>
          <w:numId w:val="22"/>
        </w:numPr>
        <w:spacing w:before="60" w:after="60"/>
        <w:rPr>
          <w:sz w:val="24"/>
          <w:szCs w:val="24"/>
        </w:rPr>
      </w:pPr>
      <w:r w:rsidRPr="00810F53">
        <w:rPr>
          <w:color w:val="FF0000"/>
          <w:sz w:val="24"/>
          <w:szCs w:val="24"/>
        </w:rPr>
        <w:t xml:space="preserve">Provide a list of guidelines that the organization is adopting with regards to shredding documents to reasonably ensure the privacy of those documents. </w:t>
      </w:r>
    </w:p>
    <w:p w14:paraId="253F0383" w14:textId="77777777" w:rsidR="00D028DA" w:rsidRPr="00810F53" w:rsidRDefault="00916271" w:rsidP="00F33F95">
      <w:pPr>
        <w:numPr>
          <w:ilvl w:val="1"/>
          <w:numId w:val="22"/>
        </w:numPr>
        <w:spacing w:before="60" w:after="60"/>
        <w:rPr>
          <w:sz w:val="24"/>
          <w:szCs w:val="24"/>
        </w:rPr>
      </w:pPr>
      <w:r w:rsidRPr="00810F53">
        <w:rPr>
          <w:sz w:val="24"/>
          <w:szCs w:val="24"/>
        </w:rPr>
        <w:t>Verbal Safeguards</w:t>
      </w:r>
    </w:p>
    <w:p w14:paraId="7D768490" w14:textId="77777777" w:rsidR="00D028DA" w:rsidRPr="00810F53" w:rsidRDefault="00810F53" w:rsidP="00F33F95">
      <w:pPr>
        <w:numPr>
          <w:ilvl w:val="2"/>
          <w:numId w:val="22"/>
        </w:numPr>
        <w:spacing w:before="60" w:after="60"/>
        <w:rPr>
          <w:sz w:val="24"/>
          <w:szCs w:val="24"/>
        </w:rPr>
      </w:pPr>
      <w:r w:rsidRPr="00810F53">
        <w:rPr>
          <w:sz w:val="24"/>
          <w:szCs w:val="24"/>
        </w:rPr>
        <w:t>Organization</w:t>
      </w:r>
      <w:r w:rsidR="00D028DA" w:rsidRPr="00810F53">
        <w:rPr>
          <w:sz w:val="24"/>
          <w:szCs w:val="24"/>
        </w:rPr>
        <w:t xml:space="preserve"> staff must take reasonable steps to protect the privacy of all verbal exchanges or discussions of confidential information, regardless of where the discussion occurs, and should be aware of risk levels.</w:t>
      </w:r>
    </w:p>
    <w:p w14:paraId="46C88F8F" w14:textId="77777777" w:rsidR="00D028DA" w:rsidRPr="00810F53" w:rsidRDefault="00D028DA" w:rsidP="00F33F95">
      <w:pPr>
        <w:numPr>
          <w:ilvl w:val="3"/>
          <w:numId w:val="22"/>
        </w:numPr>
        <w:spacing w:before="60" w:after="60"/>
        <w:rPr>
          <w:sz w:val="24"/>
          <w:szCs w:val="24"/>
        </w:rPr>
      </w:pPr>
      <w:r w:rsidRPr="00810F53">
        <w:rPr>
          <w:sz w:val="24"/>
          <w:szCs w:val="24"/>
        </w:rPr>
        <w:t>Locations of verbal exchange with various risk levels:</w:t>
      </w:r>
    </w:p>
    <w:p w14:paraId="1738358C" w14:textId="77777777" w:rsidR="00D028DA" w:rsidRPr="00810F53" w:rsidRDefault="00D028DA" w:rsidP="00F33F95">
      <w:pPr>
        <w:numPr>
          <w:ilvl w:val="4"/>
          <w:numId w:val="22"/>
        </w:numPr>
        <w:spacing w:before="60" w:after="60"/>
        <w:rPr>
          <w:sz w:val="24"/>
          <w:szCs w:val="24"/>
        </w:rPr>
      </w:pPr>
      <w:r w:rsidRPr="00810F53">
        <w:rPr>
          <w:sz w:val="24"/>
          <w:szCs w:val="24"/>
        </w:rPr>
        <w:t>Low risk: interview rooms, enclosed offices and conference rooms.</w:t>
      </w:r>
    </w:p>
    <w:p w14:paraId="626AF21B" w14:textId="77777777" w:rsidR="00D028DA" w:rsidRPr="00810F53" w:rsidRDefault="00D028DA" w:rsidP="00F33F95">
      <w:pPr>
        <w:numPr>
          <w:ilvl w:val="4"/>
          <w:numId w:val="22"/>
        </w:numPr>
        <w:spacing w:before="60" w:after="60"/>
        <w:rPr>
          <w:sz w:val="24"/>
          <w:szCs w:val="24"/>
        </w:rPr>
      </w:pPr>
      <w:r w:rsidRPr="00810F53">
        <w:rPr>
          <w:sz w:val="24"/>
          <w:szCs w:val="24"/>
        </w:rPr>
        <w:lastRenderedPageBreak/>
        <w:t>Medium risk: employee-only areas, telephone and individual cubicles.</w:t>
      </w:r>
    </w:p>
    <w:p w14:paraId="3BD6E321" w14:textId="77777777" w:rsidR="0053590C" w:rsidRPr="00810F53" w:rsidRDefault="00D028DA" w:rsidP="00F33F95">
      <w:pPr>
        <w:numPr>
          <w:ilvl w:val="4"/>
          <w:numId w:val="22"/>
        </w:numPr>
        <w:spacing w:before="60" w:after="60"/>
        <w:rPr>
          <w:sz w:val="24"/>
          <w:szCs w:val="24"/>
        </w:rPr>
      </w:pPr>
      <w:r w:rsidRPr="00810F53">
        <w:rPr>
          <w:sz w:val="24"/>
          <w:szCs w:val="24"/>
        </w:rPr>
        <w:t xml:space="preserve">High risk: public areas, reception areas and shared cubicles housing multiple staff where </w:t>
      </w:r>
      <w:r w:rsidR="00D45B25" w:rsidRPr="00810F53">
        <w:rPr>
          <w:sz w:val="24"/>
          <w:szCs w:val="24"/>
        </w:rPr>
        <w:t>clients or participant</w:t>
      </w:r>
      <w:r w:rsidRPr="00810F53">
        <w:rPr>
          <w:sz w:val="24"/>
          <w:szCs w:val="24"/>
        </w:rPr>
        <w:t>s are routinely present.</w:t>
      </w:r>
    </w:p>
    <w:p w14:paraId="3DD4435A" w14:textId="77777777" w:rsidR="00D028DA" w:rsidRPr="00810F53" w:rsidRDefault="00916271" w:rsidP="00F33F95">
      <w:pPr>
        <w:numPr>
          <w:ilvl w:val="1"/>
          <w:numId w:val="22"/>
        </w:numPr>
        <w:spacing w:before="60" w:after="60"/>
        <w:rPr>
          <w:sz w:val="24"/>
          <w:szCs w:val="24"/>
        </w:rPr>
      </w:pPr>
      <w:r w:rsidRPr="00810F53">
        <w:rPr>
          <w:sz w:val="24"/>
          <w:szCs w:val="24"/>
        </w:rPr>
        <w:t>Visual Safeguards</w:t>
      </w:r>
    </w:p>
    <w:p w14:paraId="1328AFC9" w14:textId="77777777" w:rsidR="00D028DA" w:rsidRPr="00810F53" w:rsidRDefault="009B78EB" w:rsidP="00F33F95">
      <w:pPr>
        <w:numPr>
          <w:ilvl w:val="2"/>
          <w:numId w:val="22"/>
        </w:numPr>
        <w:spacing w:before="60" w:after="60"/>
        <w:rPr>
          <w:sz w:val="24"/>
          <w:szCs w:val="24"/>
        </w:rPr>
      </w:pPr>
      <w:r w:rsidRPr="00810F53">
        <w:rPr>
          <w:sz w:val="24"/>
          <w:szCs w:val="24"/>
        </w:rPr>
        <w:t>Organization</w:t>
      </w:r>
      <w:r w:rsidR="00D028DA" w:rsidRPr="00810F53">
        <w:rPr>
          <w:sz w:val="24"/>
          <w:szCs w:val="24"/>
        </w:rPr>
        <w:t xml:space="preserve"> staff must ensure that observable confidential information is adequately shielded from unauthorized disclosure.</w:t>
      </w:r>
    </w:p>
    <w:p w14:paraId="1AEC6E90" w14:textId="77777777" w:rsidR="004E179F" w:rsidRPr="00810F53" w:rsidRDefault="00D028DA" w:rsidP="00F33F95">
      <w:pPr>
        <w:numPr>
          <w:ilvl w:val="2"/>
          <w:numId w:val="22"/>
        </w:numPr>
        <w:spacing w:before="60" w:after="60"/>
        <w:rPr>
          <w:sz w:val="24"/>
          <w:szCs w:val="24"/>
        </w:rPr>
      </w:pPr>
      <w:r w:rsidRPr="00810F53">
        <w:rPr>
          <w:sz w:val="24"/>
          <w:szCs w:val="24"/>
        </w:rPr>
        <w:t xml:space="preserve">Computer screens: </w:t>
      </w:r>
      <w:r w:rsidR="004E179F" w:rsidRPr="00810F53">
        <w:rPr>
          <w:sz w:val="24"/>
          <w:szCs w:val="24"/>
        </w:rPr>
        <w:t xml:space="preserve">The organization </w:t>
      </w:r>
      <w:r w:rsidRPr="00810F53">
        <w:rPr>
          <w:sz w:val="24"/>
          <w:szCs w:val="24"/>
        </w:rPr>
        <w:t>must ensure that confidential information on computer screens is not visible to unauthorized persons.  Suggested means for ensuring this protection include:</w:t>
      </w:r>
    </w:p>
    <w:p w14:paraId="7B5A5B28" w14:textId="77777777" w:rsidR="00D028DA" w:rsidRPr="00810F53" w:rsidRDefault="004E179F" w:rsidP="00F33F95">
      <w:pPr>
        <w:numPr>
          <w:ilvl w:val="3"/>
          <w:numId w:val="22"/>
        </w:numPr>
        <w:spacing w:before="60" w:after="60"/>
        <w:rPr>
          <w:sz w:val="24"/>
          <w:szCs w:val="24"/>
        </w:rPr>
      </w:pPr>
      <w:r w:rsidRPr="00810F53">
        <w:rPr>
          <w:color w:val="FF0000"/>
          <w:sz w:val="24"/>
          <w:szCs w:val="24"/>
        </w:rPr>
        <w:t>Provide a list of guidelines that the organization is to reasonably ensure the privacy of information on computer screens.</w:t>
      </w:r>
    </w:p>
    <w:p w14:paraId="54680D5C" w14:textId="77777777" w:rsidR="00D028DA" w:rsidRPr="00810F53" w:rsidRDefault="00D028DA" w:rsidP="00F33F95">
      <w:pPr>
        <w:numPr>
          <w:ilvl w:val="2"/>
          <w:numId w:val="22"/>
        </w:numPr>
        <w:spacing w:before="60" w:after="60"/>
        <w:rPr>
          <w:sz w:val="24"/>
          <w:szCs w:val="24"/>
        </w:rPr>
      </w:pPr>
      <w:r w:rsidRPr="00810F53">
        <w:rPr>
          <w:sz w:val="24"/>
          <w:szCs w:val="24"/>
        </w:rPr>
        <w:t xml:space="preserve">Paper documents: </w:t>
      </w:r>
      <w:r w:rsidR="004E179F" w:rsidRPr="00810F53">
        <w:rPr>
          <w:sz w:val="24"/>
          <w:szCs w:val="24"/>
        </w:rPr>
        <w:t xml:space="preserve">Organization </w:t>
      </w:r>
      <w:r w:rsidRPr="00810F53">
        <w:rPr>
          <w:sz w:val="24"/>
          <w:szCs w:val="24"/>
        </w:rPr>
        <w:t xml:space="preserve">employees must be aware of the risks regarding how paper documents are used and </w:t>
      </w:r>
      <w:proofErr w:type="gramStart"/>
      <w:r w:rsidRPr="00810F53">
        <w:rPr>
          <w:sz w:val="24"/>
          <w:szCs w:val="24"/>
        </w:rPr>
        <w:t>handled, and</w:t>
      </w:r>
      <w:proofErr w:type="gramEnd"/>
      <w:r w:rsidRPr="00810F53">
        <w:rPr>
          <w:sz w:val="24"/>
          <w:szCs w:val="24"/>
        </w:rPr>
        <w:t xml:space="preserve"> must take all necessary precautions to safeguard confidential information.  </w:t>
      </w:r>
    </w:p>
    <w:p w14:paraId="36D557C4" w14:textId="77777777" w:rsidR="00D028DA" w:rsidRPr="00F33F95" w:rsidRDefault="004E179F" w:rsidP="00F33F95">
      <w:pPr>
        <w:pStyle w:val="Heading1"/>
        <w:numPr>
          <w:ilvl w:val="3"/>
          <w:numId w:val="22"/>
        </w:numPr>
        <w:spacing w:before="60" w:after="60"/>
        <w:rPr>
          <w:sz w:val="24"/>
          <w:szCs w:val="24"/>
        </w:rPr>
      </w:pPr>
      <w:r w:rsidRPr="00F33F95">
        <w:rPr>
          <w:sz w:val="24"/>
          <w:szCs w:val="24"/>
        </w:rPr>
        <w:t xml:space="preserve">Organization </w:t>
      </w:r>
      <w:r w:rsidR="00D028DA" w:rsidRPr="00F33F95">
        <w:rPr>
          <w:sz w:val="24"/>
          <w:szCs w:val="24"/>
        </w:rPr>
        <w:t>staff must take special care to ensure the protection and safeguarding of, and the minimum necessary access to, paper documents containing confidential information that are located on:</w:t>
      </w:r>
    </w:p>
    <w:p w14:paraId="3194CFC6" w14:textId="77777777" w:rsidR="00D028DA" w:rsidRPr="00810F53" w:rsidRDefault="00F33F95" w:rsidP="00F33F95">
      <w:pPr>
        <w:numPr>
          <w:ilvl w:val="4"/>
          <w:numId w:val="22"/>
        </w:numPr>
        <w:spacing w:before="60" w:after="60"/>
        <w:rPr>
          <w:sz w:val="24"/>
          <w:szCs w:val="24"/>
        </w:rPr>
      </w:pPr>
      <w:r>
        <w:rPr>
          <w:sz w:val="24"/>
          <w:szCs w:val="24"/>
        </w:rPr>
        <w:t>Desks</w:t>
      </w:r>
    </w:p>
    <w:p w14:paraId="34F3A30A" w14:textId="77777777" w:rsidR="00D028DA" w:rsidRPr="00810F53" w:rsidRDefault="00F33F95" w:rsidP="00F33F95">
      <w:pPr>
        <w:numPr>
          <w:ilvl w:val="4"/>
          <w:numId w:val="22"/>
        </w:numPr>
        <w:tabs>
          <w:tab w:val="left" w:pos="1890"/>
        </w:tabs>
        <w:spacing w:before="60" w:after="60"/>
        <w:rPr>
          <w:sz w:val="24"/>
          <w:szCs w:val="24"/>
        </w:rPr>
      </w:pPr>
      <w:r>
        <w:rPr>
          <w:sz w:val="24"/>
          <w:szCs w:val="24"/>
        </w:rPr>
        <w:t>Fax machines</w:t>
      </w:r>
    </w:p>
    <w:p w14:paraId="01C294BF" w14:textId="77777777" w:rsidR="00D028DA" w:rsidRPr="00810F53" w:rsidRDefault="00F33F95" w:rsidP="00F33F95">
      <w:pPr>
        <w:numPr>
          <w:ilvl w:val="4"/>
          <w:numId w:val="22"/>
        </w:numPr>
        <w:tabs>
          <w:tab w:val="left" w:pos="1890"/>
        </w:tabs>
        <w:spacing w:before="60" w:after="60"/>
        <w:rPr>
          <w:sz w:val="24"/>
          <w:szCs w:val="24"/>
        </w:rPr>
      </w:pPr>
      <w:r>
        <w:rPr>
          <w:sz w:val="24"/>
          <w:szCs w:val="24"/>
        </w:rPr>
        <w:t>Photocopy machines</w:t>
      </w:r>
    </w:p>
    <w:p w14:paraId="20D11C42" w14:textId="77777777" w:rsidR="00D028DA" w:rsidRPr="00810F53" w:rsidRDefault="00D028DA" w:rsidP="00F33F95">
      <w:pPr>
        <w:numPr>
          <w:ilvl w:val="4"/>
          <w:numId w:val="22"/>
        </w:numPr>
        <w:tabs>
          <w:tab w:val="left" w:pos="1890"/>
        </w:tabs>
        <w:spacing w:before="60" w:after="60"/>
        <w:rPr>
          <w:sz w:val="24"/>
          <w:szCs w:val="24"/>
        </w:rPr>
      </w:pPr>
      <w:r w:rsidRPr="00810F53">
        <w:rPr>
          <w:sz w:val="24"/>
          <w:szCs w:val="24"/>
        </w:rPr>
        <w:t>Portable electronic devices (e.g., laptop computers, palm pilots, etc.)</w:t>
      </w:r>
    </w:p>
    <w:p w14:paraId="1135E4A7" w14:textId="77777777" w:rsidR="00D028DA" w:rsidRPr="00F33F95" w:rsidRDefault="00D028DA" w:rsidP="00F33F95">
      <w:pPr>
        <w:pStyle w:val="Heading1"/>
        <w:numPr>
          <w:ilvl w:val="4"/>
          <w:numId w:val="22"/>
        </w:numPr>
        <w:spacing w:before="60" w:after="60"/>
        <w:rPr>
          <w:sz w:val="24"/>
          <w:szCs w:val="24"/>
        </w:rPr>
      </w:pPr>
      <w:r w:rsidRPr="00F33F95">
        <w:rPr>
          <w:sz w:val="24"/>
          <w:szCs w:val="24"/>
        </w:rPr>
        <w:t>Computer printers</w:t>
      </w:r>
    </w:p>
    <w:p w14:paraId="5B918886" w14:textId="77777777" w:rsidR="00D028DA" w:rsidRPr="001D2738" w:rsidRDefault="00D028DA" w:rsidP="00F33F95">
      <w:pPr>
        <w:pStyle w:val="Heading1"/>
        <w:numPr>
          <w:ilvl w:val="4"/>
          <w:numId w:val="22"/>
        </w:numPr>
        <w:spacing w:before="60" w:after="60"/>
        <w:rPr>
          <w:sz w:val="24"/>
          <w:szCs w:val="24"/>
        </w:rPr>
      </w:pPr>
      <w:r w:rsidRPr="001D2738">
        <w:rPr>
          <w:sz w:val="24"/>
          <w:szCs w:val="24"/>
        </w:rPr>
        <w:t>Common areas (e.g., break rooms, stairwells, restrooms, elevators, etc.)</w:t>
      </w:r>
    </w:p>
    <w:p w14:paraId="792F5CCF" w14:textId="77777777" w:rsidR="00D028DA" w:rsidRPr="00810F53" w:rsidRDefault="00D028DA" w:rsidP="00F33F95">
      <w:pPr>
        <w:numPr>
          <w:ilvl w:val="0"/>
          <w:numId w:val="22"/>
        </w:numPr>
        <w:spacing w:before="60" w:after="60"/>
        <w:rPr>
          <w:sz w:val="24"/>
          <w:szCs w:val="24"/>
        </w:rPr>
      </w:pPr>
      <w:r w:rsidRPr="00810F53">
        <w:rPr>
          <w:sz w:val="24"/>
          <w:szCs w:val="24"/>
        </w:rPr>
        <w:t xml:space="preserve">Safeguarding confidential information – </w:t>
      </w:r>
      <w:r w:rsidR="00CC6C84" w:rsidRPr="00810F53">
        <w:rPr>
          <w:sz w:val="24"/>
          <w:szCs w:val="24"/>
        </w:rPr>
        <w:t>Organization</w:t>
      </w:r>
      <w:r w:rsidRPr="00810F53">
        <w:rPr>
          <w:sz w:val="24"/>
          <w:szCs w:val="24"/>
        </w:rPr>
        <w:t xml:space="preserve"> administrative safeguards</w:t>
      </w:r>
    </w:p>
    <w:p w14:paraId="29087320" w14:textId="77777777" w:rsidR="001D2738" w:rsidRPr="001D2738" w:rsidRDefault="00CC6C84" w:rsidP="001D2738">
      <w:pPr>
        <w:numPr>
          <w:ilvl w:val="2"/>
          <w:numId w:val="22"/>
        </w:numPr>
        <w:spacing w:before="60"/>
      </w:pPr>
      <w:r w:rsidRPr="001D2738">
        <w:rPr>
          <w:sz w:val="24"/>
          <w:szCs w:val="24"/>
        </w:rPr>
        <w:t>Provide a list of guidelines that the organization is to reasonably safeguard confidential information</w:t>
      </w:r>
    </w:p>
    <w:p w14:paraId="44356B44" w14:textId="77777777" w:rsidR="001D2738" w:rsidRPr="001D2738" w:rsidRDefault="001D2738" w:rsidP="001D2738">
      <w:pPr>
        <w:spacing w:before="60"/>
        <w:ind w:left="720"/>
      </w:pPr>
    </w:p>
    <w:p w14:paraId="5060E4F9" w14:textId="77777777" w:rsidR="004A3719" w:rsidRPr="001D2738" w:rsidRDefault="004A3719" w:rsidP="001D2738">
      <w:pPr>
        <w:spacing w:before="60" w:after="60"/>
        <w:rPr>
          <w:b/>
          <w:sz w:val="24"/>
          <w:szCs w:val="24"/>
          <w:u w:val="single"/>
        </w:rPr>
      </w:pPr>
      <w:r w:rsidRPr="001D2738">
        <w:rPr>
          <w:b/>
          <w:sz w:val="24"/>
          <w:szCs w:val="24"/>
          <w:u w:val="single"/>
        </w:rPr>
        <w:t xml:space="preserve">Related </w:t>
      </w:r>
      <w:r w:rsidR="0053590C" w:rsidRPr="001D2738">
        <w:rPr>
          <w:b/>
          <w:sz w:val="24"/>
          <w:szCs w:val="24"/>
          <w:u w:val="single"/>
        </w:rPr>
        <w:t xml:space="preserve">HIPAA </w:t>
      </w:r>
      <w:r w:rsidRPr="001D2738">
        <w:rPr>
          <w:b/>
          <w:sz w:val="24"/>
          <w:szCs w:val="24"/>
          <w:u w:val="single"/>
        </w:rPr>
        <w:t>Policies</w:t>
      </w:r>
      <w:r w:rsidR="001D2738">
        <w:rPr>
          <w:b/>
          <w:sz w:val="24"/>
          <w:szCs w:val="24"/>
          <w:u w:val="single"/>
        </w:rPr>
        <w:t>:</w:t>
      </w:r>
    </w:p>
    <w:p w14:paraId="303CF30F" w14:textId="77777777" w:rsidR="00DB3363" w:rsidRDefault="00DB3363" w:rsidP="004A3719">
      <w:pPr>
        <w:rPr>
          <w:sz w:val="24"/>
          <w:szCs w:val="24"/>
        </w:rPr>
      </w:pPr>
    </w:p>
    <w:p w14:paraId="2D454EAE" w14:textId="77777777" w:rsidR="004A3719" w:rsidRPr="00810F53" w:rsidRDefault="004A3719" w:rsidP="00DB3363">
      <w:pPr>
        <w:numPr>
          <w:ilvl w:val="0"/>
          <w:numId w:val="25"/>
        </w:numPr>
        <w:rPr>
          <w:sz w:val="24"/>
          <w:szCs w:val="24"/>
        </w:rPr>
      </w:pPr>
      <w:r w:rsidRPr="00810F53">
        <w:rPr>
          <w:sz w:val="24"/>
          <w:szCs w:val="24"/>
        </w:rPr>
        <w:t>HIPAA Privacy Policy</w:t>
      </w:r>
      <w:r w:rsidR="00FF7E11" w:rsidRPr="00810F53">
        <w:rPr>
          <w:sz w:val="24"/>
          <w:szCs w:val="24"/>
        </w:rPr>
        <w:t xml:space="preserve"> </w:t>
      </w:r>
    </w:p>
    <w:p w14:paraId="56E846F2" w14:textId="77777777" w:rsidR="004A3719" w:rsidRPr="00810F53" w:rsidRDefault="004A3719" w:rsidP="00DB3363">
      <w:pPr>
        <w:numPr>
          <w:ilvl w:val="0"/>
          <w:numId w:val="25"/>
        </w:numPr>
        <w:rPr>
          <w:sz w:val="24"/>
          <w:szCs w:val="24"/>
        </w:rPr>
      </w:pPr>
      <w:r w:rsidRPr="00810F53">
        <w:rPr>
          <w:sz w:val="24"/>
          <w:szCs w:val="24"/>
        </w:rPr>
        <w:t xml:space="preserve">Minimum Necessary </w:t>
      </w:r>
      <w:r w:rsidR="00FF7E11" w:rsidRPr="00810F53">
        <w:rPr>
          <w:sz w:val="24"/>
          <w:szCs w:val="24"/>
        </w:rPr>
        <w:t xml:space="preserve">Information Policy </w:t>
      </w:r>
    </w:p>
    <w:p w14:paraId="27F694AC" w14:textId="77777777" w:rsidR="004A3719" w:rsidRPr="002E6108" w:rsidRDefault="00FF7E11" w:rsidP="002E6108">
      <w:pPr>
        <w:numPr>
          <w:ilvl w:val="0"/>
          <w:numId w:val="25"/>
        </w:numPr>
        <w:rPr>
          <w:sz w:val="24"/>
          <w:szCs w:val="24"/>
        </w:rPr>
      </w:pPr>
      <w:r w:rsidRPr="002E6108">
        <w:rPr>
          <w:sz w:val="24"/>
          <w:szCs w:val="24"/>
        </w:rPr>
        <w:t xml:space="preserve">Enforcement Sanctions and Penalties for Violations of Individual </w:t>
      </w:r>
      <w:r w:rsidR="0053590C" w:rsidRPr="002E6108">
        <w:rPr>
          <w:sz w:val="24"/>
          <w:szCs w:val="24"/>
        </w:rPr>
        <w:t>Privacy</w:t>
      </w:r>
      <w:r w:rsidRPr="002E6108">
        <w:rPr>
          <w:sz w:val="24"/>
          <w:szCs w:val="24"/>
        </w:rPr>
        <w:t xml:space="preserve"> Policy </w:t>
      </w:r>
    </w:p>
    <w:p w14:paraId="39B24D65" w14:textId="77777777" w:rsidR="00D028DA" w:rsidRPr="00810F53" w:rsidRDefault="001D2738">
      <w:pPr>
        <w:pStyle w:val="Heading2"/>
        <w:rPr>
          <w:szCs w:val="24"/>
        </w:rPr>
      </w:pPr>
      <w:r>
        <w:rPr>
          <w:szCs w:val="24"/>
        </w:rPr>
        <w:br w:type="page"/>
      </w:r>
      <w:r w:rsidR="004A3719" w:rsidRPr="00810F53">
        <w:rPr>
          <w:szCs w:val="24"/>
        </w:rPr>
        <w:lastRenderedPageBreak/>
        <w:t xml:space="preserve">Related </w:t>
      </w:r>
      <w:r w:rsidR="0053590C" w:rsidRPr="00810F53">
        <w:rPr>
          <w:szCs w:val="24"/>
        </w:rPr>
        <w:t xml:space="preserve">HIPAA </w:t>
      </w:r>
      <w:r w:rsidR="004A3719" w:rsidRPr="00810F53">
        <w:rPr>
          <w:szCs w:val="24"/>
        </w:rPr>
        <w:t>Forms</w:t>
      </w:r>
      <w:r w:rsidR="0053590C" w:rsidRPr="00810F53">
        <w:rPr>
          <w:szCs w:val="24"/>
        </w:rPr>
        <w:t xml:space="preserve"> and Documents</w:t>
      </w:r>
      <w:r>
        <w:rPr>
          <w:szCs w:val="24"/>
        </w:rPr>
        <w:t>:</w:t>
      </w:r>
    </w:p>
    <w:p w14:paraId="084FFD67" w14:textId="77777777" w:rsidR="00D028DA" w:rsidRPr="00810F53" w:rsidRDefault="00D028DA">
      <w:pPr>
        <w:rPr>
          <w:sz w:val="24"/>
          <w:szCs w:val="24"/>
        </w:rPr>
      </w:pPr>
    </w:p>
    <w:p w14:paraId="7FB9067F" w14:textId="77777777" w:rsidR="00D028DA" w:rsidRPr="00810F53" w:rsidRDefault="00D028DA" w:rsidP="00810F53">
      <w:pPr>
        <w:numPr>
          <w:ilvl w:val="0"/>
          <w:numId w:val="23"/>
        </w:numPr>
        <w:rPr>
          <w:sz w:val="24"/>
          <w:szCs w:val="24"/>
        </w:rPr>
      </w:pPr>
      <w:r w:rsidRPr="00810F53">
        <w:rPr>
          <w:sz w:val="24"/>
          <w:szCs w:val="24"/>
        </w:rPr>
        <w:t>Request for an Accounting of Disclosures</w:t>
      </w:r>
    </w:p>
    <w:p w14:paraId="783B2B2C" w14:textId="77777777" w:rsidR="00D028DA" w:rsidRPr="00810F53" w:rsidRDefault="00D028DA" w:rsidP="00810F53">
      <w:pPr>
        <w:numPr>
          <w:ilvl w:val="0"/>
          <w:numId w:val="23"/>
        </w:numPr>
        <w:rPr>
          <w:sz w:val="24"/>
          <w:szCs w:val="24"/>
        </w:rPr>
      </w:pPr>
      <w:r w:rsidRPr="00810F53">
        <w:rPr>
          <w:sz w:val="24"/>
          <w:szCs w:val="24"/>
        </w:rPr>
        <w:t>Disclosure Tracking Log</w:t>
      </w:r>
    </w:p>
    <w:p w14:paraId="10F42CB3" w14:textId="77777777" w:rsidR="0053590C" w:rsidRPr="00810F53" w:rsidRDefault="0053590C" w:rsidP="00810F53">
      <w:pPr>
        <w:numPr>
          <w:ilvl w:val="0"/>
          <w:numId w:val="23"/>
        </w:numPr>
        <w:rPr>
          <w:sz w:val="24"/>
          <w:szCs w:val="24"/>
        </w:rPr>
      </w:pPr>
      <w:r w:rsidRPr="00810F53">
        <w:rPr>
          <w:sz w:val="24"/>
          <w:szCs w:val="24"/>
        </w:rPr>
        <w:t>Safeguards Assessment Tool</w:t>
      </w:r>
    </w:p>
    <w:p w14:paraId="0263904B" w14:textId="77777777" w:rsidR="0053590C" w:rsidRPr="00810F53" w:rsidRDefault="0053590C" w:rsidP="00810F53">
      <w:pPr>
        <w:numPr>
          <w:ilvl w:val="0"/>
          <w:numId w:val="23"/>
        </w:numPr>
        <w:rPr>
          <w:sz w:val="24"/>
          <w:szCs w:val="24"/>
        </w:rPr>
      </w:pPr>
      <w:r w:rsidRPr="00810F53">
        <w:rPr>
          <w:sz w:val="24"/>
          <w:szCs w:val="24"/>
        </w:rPr>
        <w:t>Guidance for Managers and Supervisors</w:t>
      </w:r>
    </w:p>
    <w:p w14:paraId="40A348BD" w14:textId="77777777" w:rsidR="00D028DA" w:rsidRPr="00810F53" w:rsidRDefault="00D028DA">
      <w:pPr>
        <w:rPr>
          <w:sz w:val="24"/>
          <w:szCs w:val="24"/>
        </w:rPr>
      </w:pPr>
    </w:p>
    <w:p w14:paraId="532A5D0B" w14:textId="77777777" w:rsidR="00D028DA" w:rsidRDefault="00D028DA">
      <w:pPr>
        <w:pStyle w:val="Heading2"/>
        <w:rPr>
          <w:szCs w:val="24"/>
        </w:rPr>
      </w:pPr>
      <w:r w:rsidRPr="00810F53">
        <w:rPr>
          <w:szCs w:val="24"/>
        </w:rPr>
        <w:t>Co</w:t>
      </w:r>
      <w:bookmarkStart w:id="4" w:name="_Hlt9757799"/>
      <w:r w:rsidRPr="00810F53">
        <w:rPr>
          <w:szCs w:val="24"/>
        </w:rPr>
        <w:t>n</w:t>
      </w:r>
      <w:bookmarkEnd w:id="4"/>
      <w:r w:rsidR="00DB3363">
        <w:rPr>
          <w:szCs w:val="24"/>
        </w:rPr>
        <w:t>tact(s)</w:t>
      </w:r>
    </w:p>
    <w:p w14:paraId="1B404C6F" w14:textId="77777777" w:rsidR="00DB3363" w:rsidRPr="00DB3363" w:rsidRDefault="00DB3363" w:rsidP="00DB3363"/>
    <w:p w14:paraId="0CC10536" w14:textId="77777777" w:rsidR="00D028DA" w:rsidRPr="00810F53" w:rsidRDefault="001A208D" w:rsidP="00810F53">
      <w:pPr>
        <w:numPr>
          <w:ilvl w:val="0"/>
          <w:numId w:val="24"/>
        </w:numPr>
        <w:rPr>
          <w:color w:val="FF0000"/>
          <w:sz w:val="24"/>
          <w:szCs w:val="24"/>
        </w:rPr>
      </w:pPr>
      <w:r w:rsidRPr="00810F53">
        <w:rPr>
          <w:color w:val="FF0000"/>
          <w:sz w:val="24"/>
          <w:szCs w:val="24"/>
        </w:rPr>
        <w:t>Privacy Officer</w:t>
      </w:r>
    </w:p>
    <w:p w14:paraId="63F195A6" w14:textId="77777777" w:rsidR="001A208D" w:rsidRPr="00810F53" w:rsidRDefault="001A208D" w:rsidP="001A208D">
      <w:pPr>
        <w:ind w:left="720"/>
        <w:rPr>
          <w:color w:val="FF0000"/>
          <w:sz w:val="24"/>
          <w:szCs w:val="24"/>
        </w:rPr>
      </w:pPr>
      <w:r w:rsidRPr="00810F53">
        <w:rPr>
          <w:color w:val="FF0000"/>
          <w:sz w:val="24"/>
          <w:szCs w:val="24"/>
        </w:rPr>
        <w:t>Contact Information</w:t>
      </w:r>
    </w:p>
    <w:p w14:paraId="4606E183" w14:textId="77777777" w:rsidR="00D028DA" w:rsidRPr="00810F53" w:rsidRDefault="00D028DA">
      <w:pPr>
        <w:rPr>
          <w:color w:val="FF0000"/>
          <w:sz w:val="24"/>
          <w:szCs w:val="24"/>
        </w:rPr>
      </w:pPr>
    </w:p>
    <w:sectPr w:rsidR="00D028DA" w:rsidRPr="00810F53" w:rsidSect="00D85FE3">
      <w:headerReference w:type="default" r:id="rId7"/>
      <w:footerReference w:type="default" r:id="rId8"/>
      <w:pgSz w:w="12240" w:h="15840" w:code="1"/>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D8700" w14:textId="77777777" w:rsidR="00520371" w:rsidRDefault="00520371">
      <w:r>
        <w:separator/>
      </w:r>
    </w:p>
  </w:endnote>
  <w:endnote w:type="continuationSeparator" w:id="0">
    <w:p w14:paraId="4B3A7915" w14:textId="77777777" w:rsidR="00520371" w:rsidRDefault="00520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02568" w14:textId="77777777" w:rsidR="006B23AF" w:rsidRDefault="006B23AF" w:rsidP="005826F3">
    <w:pPr>
      <w:pStyle w:val="Footer"/>
      <w:jc w:val="center"/>
      <w:rPr>
        <w:sz w:val="16"/>
        <w:szCs w:val="16"/>
      </w:rPr>
    </w:pP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556DB0">
      <w:rPr>
        <w:rStyle w:val="PageNumber"/>
        <w:noProof/>
        <w:sz w:val="16"/>
        <w:szCs w:val="16"/>
      </w:rPr>
      <w:t>1</w:t>
    </w:r>
    <w:r>
      <w:rPr>
        <w:rStyle w:val="PageNumber"/>
        <w:sz w:val="16"/>
        <w:szCs w:val="16"/>
      </w:rPr>
      <w:fldChar w:fldCharType="end"/>
    </w:r>
  </w:p>
  <w:p w14:paraId="2AA7C13A" w14:textId="77777777" w:rsidR="006B23AF" w:rsidRDefault="006B23AF" w:rsidP="005826F3">
    <w:pPr>
      <w:pStyle w:val="Footer"/>
      <w:jc w:val="center"/>
    </w:pPr>
    <w:r>
      <w:rPr>
        <w:sz w:val="16"/>
        <w:szCs w:val="16"/>
      </w:rPr>
      <w:t xml:space="preserve">Copyright© TenStep,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2C28B2" w14:textId="77777777" w:rsidR="00520371" w:rsidRDefault="00520371">
      <w:r>
        <w:separator/>
      </w:r>
    </w:p>
  </w:footnote>
  <w:footnote w:type="continuationSeparator" w:id="0">
    <w:p w14:paraId="074E3FA5" w14:textId="77777777" w:rsidR="00520371" w:rsidRDefault="005203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73227" w14:textId="77777777" w:rsidR="006B23AF" w:rsidRPr="00F33F95" w:rsidRDefault="006B23AF" w:rsidP="00F33F95">
    <w:pPr>
      <w:jc w:val="center"/>
      <w:rPr>
        <w:color w:val="FF0000"/>
        <w:sz w:val="44"/>
        <w:szCs w:val="44"/>
        <w:u w:val="single"/>
      </w:rPr>
    </w:pPr>
    <w:r w:rsidRPr="00F33F95">
      <w:rPr>
        <w:b/>
        <w:smallCaps/>
        <w:color w:val="FF0000"/>
        <w:sz w:val="44"/>
        <w:szCs w:val="44"/>
        <w:u w:val="single"/>
      </w:rPr>
      <w:t>Organization Name</w:t>
    </w:r>
  </w:p>
  <w:p w14:paraId="2C7BD98A" w14:textId="77777777" w:rsidR="006B23AF" w:rsidRPr="00F33F95" w:rsidRDefault="006B23AF" w:rsidP="00F33F95">
    <w:pPr>
      <w:jc w:val="center"/>
      <w:rPr>
        <w:b/>
        <w:sz w:val="32"/>
        <w:szCs w:val="32"/>
      </w:rPr>
    </w:pPr>
    <w:r w:rsidRPr="00F33F95">
      <w:rPr>
        <w:b/>
        <w:sz w:val="32"/>
        <w:szCs w:val="32"/>
      </w:rPr>
      <w:t xml:space="preserve">HIPAA Administrative, Technical </w:t>
    </w:r>
  </w:p>
  <w:p w14:paraId="265545AC" w14:textId="77777777" w:rsidR="006B23AF" w:rsidRPr="00F33F95" w:rsidRDefault="006B23AF" w:rsidP="00F33F95">
    <w:pPr>
      <w:jc w:val="center"/>
      <w:rPr>
        <w:b/>
        <w:sz w:val="32"/>
        <w:szCs w:val="32"/>
      </w:rPr>
    </w:pPr>
    <w:r w:rsidRPr="00F33F95">
      <w:rPr>
        <w:b/>
        <w:sz w:val="32"/>
        <w:szCs w:val="32"/>
      </w:rPr>
      <w:t>and Physical Safeguards and Accounting Procedures</w:t>
    </w:r>
  </w:p>
  <w:p w14:paraId="305E965A" w14:textId="77777777" w:rsidR="006B23AF" w:rsidRDefault="006B23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A4911"/>
    <w:multiLevelType w:val="multilevel"/>
    <w:tmpl w:val="C0A053B8"/>
    <w:lvl w:ilvl="0">
      <w:start w:val="1"/>
      <w:numFmt w:val="decimal"/>
      <w:lvlText w:val="%1."/>
      <w:lvlJc w:val="left"/>
      <w:pPr>
        <w:tabs>
          <w:tab w:val="num" w:pos="547"/>
        </w:tabs>
        <w:ind w:left="547" w:hanging="547"/>
      </w:pPr>
    </w:lvl>
    <w:lvl w:ilvl="1">
      <w:start w:val="1"/>
      <w:numFmt w:val="lowerLetter"/>
      <w:lvlText w:val="%2."/>
      <w:lvlJc w:val="left"/>
      <w:pPr>
        <w:tabs>
          <w:tab w:val="num" w:pos="1080"/>
        </w:tabs>
        <w:ind w:left="1080" w:hanging="533"/>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8B944DC"/>
    <w:multiLevelType w:val="multilevel"/>
    <w:tmpl w:val="C0A053B8"/>
    <w:lvl w:ilvl="0">
      <w:start w:val="1"/>
      <w:numFmt w:val="decimal"/>
      <w:lvlText w:val="%1."/>
      <w:lvlJc w:val="left"/>
      <w:pPr>
        <w:tabs>
          <w:tab w:val="num" w:pos="547"/>
        </w:tabs>
        <w:ind w:left="547" w:hanging="547"/>
      </w:pPr>
    </w:lvl>
    <w:lvl w:ilvl="1">
      <w:start w:val="1"/>
      <w:numFmt w:val="lowerLetter"/>
      <w:lvlText w:val="%2."/>
      <w:lvlJc w:val="left"/>
      <w:pPr>
        <w:tabs>
          <w:tab w:val="num" w:pos="1080"/>
        </w:tabs>
        <w:ind w:left="1080" w:hanging="533"/>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1D07F0C"/>
    <w:multiLevelType w:val="multilevel"/>
    <w:tmpl w:val="82A42C44"/>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3BE073E"/>
    <w:multiLevelType w:val="multilevel"/>
    <w:tmpl w:val="EBDC14E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204F5A"/>
    <w:multiLevelType w:val="multilevel"/>
    <w:tmpl w:val="0E0404BE"/>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B042951"/>
    <w:multiLevelType w:val="multilevel"/>
    <w:tmpl w:val="C0A053B8"/>
    <w:lvl w:ilvl="0">
      <w:start w:val="1"/>
      <w:numFmt w:val="decimal"/>
      <w:lvlText w:val="%1."/>
      <w:lvlJc w:val="left"/>
      <w:pPr>
        <w:tabs>
          <w:tab w:val="num" w:pos="547"/>
        </w:tabs>
        <w:ind w:left="547" w:hanging="547"/>
      </w:pPr>
    </w:lvl>
    <w:lvl w:ilvl="1">
      <w:start w:val="1"/>
      <w:numFmt w:val="lowerLetter"/>
      <w:lvlText w:val="%2."/>
      <w:lvlJc w:val="left"/>
      <w:pPr>
        <w:tabs>
          <w:tab w:val="num" w:pos="1080"/>
        </w:tabs>
        <w:ind w:left="1080" w:hanging="533"/>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BCD4EA3"/>
    <w:multiLevelType w:val="multilevel"/>
    <w:tmpl w:val="EC3E92E2"/>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DD237A"/>
    <w:multiLevelType w:val="multilevel"/>
    <w:tmpl w:val="67A0CB56"/>
    <w:lvl w:ilvl="0">
      <w:start w:val="1"/>
      <w:numFmt w:val="decimal"/>
      <w:lvlText w:val="%1."/>
      <w:lvlJc w:val="left"/>
      <w:pPr>
        <w:tabs>
          <w:tab w:val="num" w:pos="360"/>
        </w:tabs>
        <w:ind w:left="360" w:hanging="360"/>
      </w:pPr>
      <w:rPr>
        <w:rFonts w:ascii="Times New Roman" w:hAnsi="Times New Roman" w:hint="default"/>
        <w:b w:val="0"/>
        <w:i w:val="0"/>
        <w:color w:val="auto"/>
        <w:sz w:val="24"/>
        <w:szCs w:val="24"/>
      </w:rPr>
    </w:lvl>
    <w:lvl w:ilvl="1">
      <w:start w:val="1"/>
      <w:numFmt w:val="lowerLetter"/>
      <w:lvlText w:val="%2."/>
      <w:lvlJc w:val="left"/>
      <w:pPr>
        <w:tabs>
          <w:tab w:val="num" w:pos="1080"/>
        </w:tabs>
        <w:ind w:left="1080" w:hanging="533"/>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7F52E41"/>
    <w:multiLevelType w:val="hybridMultilevel"/>
    <w:tmpl w:val="3B7E9BD6"/>
    <w:lvl w:ilvl="0" w:tplc="5406C554">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AE70BA0"/>
    <w:multiLevelType w:val="multilevel"/>
    <w:tmpl w:val="3B360A92"/>
    <w:lvl w:ilvl="0">
      <w:start w:val="1"/>
      <w:numFmt w:val="decimal"/>
      <w:lvlText w:val="%1."/>
      <w:lvlJc w:val="left"/>
      <w:pPr>
        <w:tabs>
          <w:tab w:val="num" w:pos="360"/>
        </w:tabs>
        <w:ind w:left="360" w:hanging="360"/>
      </w:pPr>
      <w:rPr>
        <w:rFonts w:ascii="Times New Roman" w:hAnsi="Times New Roman" w:hint="default"/>
        <w:b w:val="0"/>
        <w:i w:val="0"/>
        <w:sz w:val="28"/>
      </w:rPr>
    </w:lvl>
    <w:lvl w:ilvl="1">
      <w:start w:val="1"/>
      <w:numFmt w:val="lowerLetter"/>
      <w:lvlText w:val="%2."/>
      <w:lvlJc w:val="left"/>
      <w:pPr>
        <w:tabs>
          <w:tab w:val="num" w:pos="720"/>
        </w:tabs>
        <w:ind w:left="720" w:hanging="360"/>
      </w:pPr>
      <w:rPr>
        <w:rFonts w:ascii="Times New Roman" w:hAnsi="Times New Roman" w:hint="default"/>
        <w:b w:val="0"/>
        <w:i w:val="0"/>
        <w:sz w:val="28"/>
      </w:rPr>
    </w:lvl>
    <w:lvl w:ilvl="2">
      <w:start w:val="2"/>
      <w:numFmt w:val="lowerRoman"/>
      <w:lvlText w:val="%3."/>
      <w:lvlJc w:val="left"/>
      <w:pPr>
        <w:tabs>
          <w:tab w:val="num" w:pos="1440"/>
        </w:tabs>
        <w:ind w:left="1080" w:hanging="360"/>
      </w:pPr>
      <w:rPr>
        <w:rFonts w:hint="default"/>
      </w:rPr>
    </w:lvl>
    <w:lvl w:ilvl="3">
      <w:start w:val="1"/>
      <w:numFmt w:val="upperLetter"/>
      <w:lvlText w:val="%4."/>
      <w:lvlJc w:val="left"/>
      <w:pPr>
        <w:tabs>
          <w:tab w:val="num" w:pos="1440"/>
        </w:tabs>
        <w:ind w:left="1440" w:hanging="360"/>
      </w:pPr>
      <w:rPr>
        <w:rFonts w:hint="default"/>
      </w:rPr>
    </w:lvl>
    <w:lvl w:ilvl="4">
      <w:start w:val="1"/>
      <w:numFmt w:val="upperRoman"/>
      <w:lvlText w:val="%5."/>
      <w:lvlJc w:val="left"/>
      <w:pPr>
        <w:tabs>
          <w:tab w:val="num" w:pos="216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CDE79B7"/>
    <w:multiLevelType w:val="multilevel"/>
    <w:tmpl w:val="CEDA194C"/>
    <w:lvl w:ilvl="0">
      <w:start w:val="1"/>
      <w:numFmt w:val="bullet"/>
      <w:lvlText w:val=""/>
      <w:lvlJc w:val="left"/>
      <w:pPr>
        <w:tabs>
          <w:tab w:val="num" w:pos="1440"/>
        </w:tabs>
        <w:ind w:left="1440" w:hanging="360"/>
      </w:pPr>
      <w:rPr>
        <w:rFonts w:ascii="Wingdings" w:hAnsi="Wingdings" w:hint="default"/>
      </w:rPr>
    </w:lvl>
    <w:lvl w:ilvl="1">
      <w:start w:val="1"/>
      <w:numFmt w:val="lowerLetter"/>
      <w:lvlText w:val="%2."/>
      <w:lvlJc w:val="left"/>
      <w:pPr>
        <w:tabs>
          <w:tab w:val="num" w:pos="1800"/>
        </w:tabs>
        <w:ind w:left="1800" w:hanging="360"/>
      </w:pPr>
      <w:rPr>
        <w:rFonts w:ascii="Times New Roman" w:hAnsi="Times New Roman" w:hint="default"/>
        <w:b w:val="0"/>
        <w:i w:val="0"/>
        <w:sz w:val="28"/>
      </w:rPr>
    </w:lvl>
    <w:lvl w:ilvl="2">
      <w:start w:val="1"/>
      <w:numFmt w:val="lowerRoman"/>
      <w:lvlText w:val="%3."/>
      <w:lvlJc w:val="left"/>
      <w:pPr>
        <w:tabs>
          <w:tab w:val="num" w:pos="2520"/>
        </w:tabs>
        <w:ind w:left="2160" w:hanging="360"/>
      </w:pPr>
      <w:rPr>
        <w:rFonts w:hint="default"/>
      </w:rPr>
    </w:lvl>
    <w:lvl w:ilvl="3">
      <w:start w:val="1"/>
      <w:numFmt w:val="upperLetter"/>
      <w:lvlText w:val="%4."/>
      <w:lvlJc w:val="left"/>
      <w:pPr>
        <w:tabs>
          <w:tab w:val="num" w:pos="2520"/>
        </w:tabs>
        <w:ind w:left="2520" w:hanging="360"/>
      </w:pPr>
      <w:rPr>
        <w:rFonts w:hint="default"/>
      </w:rPr>
    </w:lvl>
    <w:lvl w:ilvl="4">
      <w:start w:val="1"/>
      <w:numFmt w:val="upperRoman"/>
      <w:lvlText w:val="%5."/>
      <w:lvlJc w:val="left"/>
      <w:pPr>
        <w:tabs>
          <w:tab w:val="num" w:pos="3240"/>
        </w:tabs>
        <w:ind w:left="2880" w:hanging="360"/>
      </w:pPr>
      <w:rPr>
        <w:rFonts w:hint="default"/>
      </w:rPr>
    </w:lvl>
    <w:lvl w:ilvl="5">
      <w:start w:val="1"/>
      <w:numFmt w:val="lowerRoman"/>
      <w:lvlText w:val="(%6)"/>
      <w:lvlJc w:val="left"/>
      <w:pPr>
        <w:tabs>
          <w:tab w:val="num" w:pos="360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1" w15:restartNumberingAfterBreak="0">
    <w:nsid w:val="376859E0"/>
    <w:multiLevelType w:val="multilevel"/>
    <w:tmpl w:val="C5723AC8"/>
    <w:lvl w:ilvl="0">
      <w:start w:val="1"/>
      <w:numFmt w:val="decimal"/>
      <w:lvlText w:val="%1."/>
      <w:lvlJc w:val="left"/>
      <w:pPr>
        <w:tabs>
          <w:tab w:val="num" w:pos="547"/>
        </w:tabs>
        <w:ind w:left="547" w:hanging="547"/>
      </w:pPr>
    </w:lvl>
    <w:lvl w:ilvl="1">
      <w:start w:val="1"/>
      <w:numFmt w:val="lowerLetter"/>
      <w:lvlText w:val="%2."/>
      <w:lvlJc w:val="left"/>
      <w:pPr>
        <w:tabs>
          <w:tab w:val="num" w:pos="1080"/>
        </w:tabs>
        <w:ind w:left="1080" w:hanging="533"/>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79B6349"/>
    <w:multiLevelType w:val="multilevel"/>
    <w:tmpl w:val="1884C9D0"/>
    <w:lvl w:ilvl="0">
      <w:start w:val="3"/>
      <w:numFmt w:val="decimal"/>
      <w:lvlText w:val="%1."/>
      <w:lvlJc w:val="left"/>
      <w:pPr>
        <w:tabs>
          <w:tab w:val="num" w:pos="504"/>
        </w:tabs>
        <w:ind w:left="504" w:hanging="504"/>
      </w:pPr>
      <w:rPr>
        <w:rFonts w:hint="default"/>
      </w:rPr>
    </w:lvl>
    <w:lvl w:ilvl="1">
      <w:start w:val="1"/>
      <w:numFmt w:val="lowerLetter"/>
      <w:lvlText w:val="%2."/>
      <w:lvlJc w:val="left"/>
      <w:pPr>
        <w:tabs>
          <w:tab w:val="num" w:pos="907"/>
        </w:tabs>
        <w:ind w:left="720" w:hanging="173"/>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720"/>
      </w:pPr>
    </w:lvl>
    <w:lvl w:ilvl="4">
      <w:start w:val="1"/>
      <w:numFmt w:val="lowerLetter"/>
      <w:lvlText w:val="%5."/>
      <w:lvlJc w:val="left"/>
      <w:pPr>
        <w:tabs>
          <w:tab w:val="num" w:pos="3600"/>
        </w:tabs>
        <w:ind w:left="3600" w:hanging="72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49558A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DC5D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88D7D24"/>
    <w:multiLevelType w:val="multilevel"/>
    <w:tmpl w:val="82A42C44"/>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CF932DB"/>
    <w:multiLevelType w:val="multilevel"/>
    <w:tmpl w:val="5F408186"/>
    <w:lvl w:ilvl="0">
      <w:start w:val="1"/>
      <w:numFmt w:val="decimal"/>
      <w:lvlText w:val="%1."/>
      <w:lvlJc w:val="left"/>
      <w:pPr>
        <w:tabs>
          <w:tab w:val="num" w:pos="360"/>
        </w:tabs>
        <w:ind w:left="360" w:hanging="360"/>
      </w:pPr>
      <w:rPr>
        <w:rFonts w:ascii="Times New Roman" w:hAnsi="Times New Roman" w:hint="default"/>
        <w:b w:val="0"/>
        <w:i w:val="0"/>
        <w:sz w:val="28"/>
      </w:rPr>
    </w:lvl>
    <w:lvl w:ilvl="1">
      <w:start w:val="1"/>
      <w:numFmt w:val="lowerLetter"/>
      <w:lvlText w:val="%2."/>
      <w:lvlJc w:val="left"/>
      <w:pPr>
        <w:tabs>
          <w:tab w:val="num" w:pos="720"/>
        </w:tabs>
        <w:ind w:left="720" w:hanging="360"/>
      </w:pPr>
      <w:rPr>
        <w:rFonts w:ascii="Times New Roman" w:hAnsi="Times New Roman" w:hint="default"/>
        <w:b w:val="0"/>
        <w:i w:val="0"/>
        <w:sz w:val="28"/>
      </w:rPr>
    </w:lvl>
    <w:lvl w:ilvl="2">
      <w:start w:val="1"/>
      <w:numFmt w:val="lowerRoman"/>
      <w:lvlText w:val="%3."/>
      <w:lvlJc w:val="left"/>
      <w:pPr>
        <w:tabs>
          <w:tab w:val="num" w:pos="1440"/>
        </w:tabs>
        <w:ind w:left="1080" w:hanging="360"/>
      </w:pPr>
      <w:rPr>
        <w:rFonts w:hint="default"/>
      </w:rPr>
    </w:lvl>
    <w:lvl w:ilvl="3">
      <w:start w:val="1"/>
      <w:numFmt w:val="upperLetter"/>
      <w:lvlText w:val="%4."/>
      <w:lvlJc w:val="left"/>
      <w:pPr>
        <w:tabs>
          <w:tab w:val="num" w:pos="1440"/>
        </w:tabs>
        <w:ind w:left="1440" w:hanging="360"/>
      </w:pPr>
      <w:rPr>
        <w:rFonts w:hint="default"/>
      </w:rPr>
    </w:lvl>
    <w:lvl w:ilvl="4">
      <w:start w:val="1"/>
      <w:numFmt w:val="upperRoman"/>
      <w:lvlText w:val="%5."/>
      <w:lvlJc w:val="left"/>
      <w:pPr>
        <w:tabs>
          <w:tab w:val="num" w:pos="216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EEB59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2E728D7"/>
    <w:multiLevelType w:val="hybridMultilevel"/>
    <w:tmpl w:val="F96EA9BC"/>
    <w:lvl w:ilvl="0" w:tplc="5406C554">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1B34C18"/>
    <w:multiLevelType w:val="multilevel"/>
    <w:tmpl w:val="0F184AB6"/>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FD44A8"/>
    <w:multiLevelType w:val="multilevel"/>
    <w:tmpl w:val="3B7443EC"/>
    <w:lvl w:ilvl="0">
      <w:start w:val="2"/>
      <w:numFmt w:val="decimal"/>
      <w:lvlText w:val="%1."/>
      <w:lvlJc w:val="left"/>
      <w:pPr>
        <w:tabs>
          <w:tab w:val="num" w:pos="360"/>
        </w:tabs>
        <w:ind w:left="360" w:hanging="360"/>
      </w:pPr>
      <w:rPr>
        <w:rFonts w:ascii="Times New Roman" w:hAnsi="Times New Roman" w:hint="default"/>
        <w:b w:val="0"/>
        <w:i w:val="0"/>
        <w:sz w:val="28"/>
      </w:rPr>
    </w:lvl>
    <w:lvl w:ilvl="1">
      <w:start w:val="3"/>
      <w:numFmt w:val="lowerLetter"/>
      <w:lvlText w:val="%2."/>
      <w:lvlJc w:val="left"/>
      <w:pPr>
        <w:tabs>
          <w:tab w:val="num" w:pos="720"/>
        </w:tabs>
        <w:ind w:left="720" w:hanging="360"/>
      </w:pPr>
      <w:rPr>
        <w:rFonts w:ascii="Times New Roman" w:hAnsi="Times New Roman" w:hint="default"/>
        <w:b w:val="0"/>
        <w:i w:val="0"/>
        <w:sz w:val="28"/>
      </w:rPr>
    </w:lvl>
    <w:lvl w:ilvl="2">
      <w:start w:val="1"/>
      <w:numFmt w:val="lowerRoman"/>
      <w:lvlText w:val="%3."/>
      <w:lvlJc w:val="left"/>
      <w:pPr>
        <w:tabs>
          <w:tab w:val="num" w:pos="1440"/>
        </w:tabs>
        <w:ind w:left="1080" w:hanging="360"/>
      </w:pPr>
      <w:rPr>
        <w:rFonts w:hint="default"/>
      </w:rPr>
    </w:lvl>
    <w:lvl w:ilvl="3">
      <w:start w:val="1"/>
      <w:numFmt w:val="upperLetter"/>
      <w:pStyle w:val="Heading1"/>
      <w:lvlText w:val="%4."/>
      <w:lvlJc w:val="left"/>
      <w:pPr>
        <w:tabs>
          <w:tab w:val="num" w:pos="1440"/>
        </w:tabs>
        <w:ind w:left="1440" w:hanging="360"/>
      </w:pPr>
      <w:rPr>
        <w:rFonts w:hint="default"/>
      </w:rPr>
    </w:lvl>
    <w:lvl w:ilvl="4">
      <w:start w:val="1"/>
      <w:numFmt w:val="upperRoman"/>
      <w:lvlText w:val="%5."/>
      <w:lvlJc w:val="left"/>
      <w:pPr>
        <w:tabs>
          <w:tab w:val="num" w:pos="216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6B6F521A"/>
    <w:multiLevelType w:val="multilevel"/>
    <w:tmpl w:val="DC7E8462"/>
    <w:lvl w:ilvl="0">
      <w:start w:val="1"/>
      <w:numFmt w:val="decimal"/>
      <w:lvlText w:val="%1."/>
      <w:lvlJc w:val="left"/>
      <w:pPr>
        <w:tabs>
          <w:tab w:val="num" w:pos="547"/>
        </w:tabs>
        <w:ind w:left="547" w:hanging="547"/>
      </w:pPr>
      <w:rPr>
        <w:rFonts w:ascii="Times New Roman" w:hAnsi="Times New Roman" w:hint="default"/>
        <w:b w:val="0"/>
        <w:i w:val="0"/>
        <w:sz w:val="24"/>
        <w:szCs w:val="24"/>
      </w:rPr>
    </w:lvl>
    <w:lvl w:ilvl="1">
      <w:start w:val="1"/>
      <w:numFmt w:val="lowerLetter"/>
      <w:lvlText w:val="%2."/>
      <w:lvlJc w:val="left"/>
      <w:pPr>
        <w:tabs>
          <w:tab w:val="num" w:pos="1080"/>
        </w:tabs>
        <w:ind w:left="1080" w:hanging="533"/>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6E091D5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FCC2B89"/>
    <w:multiLevelType w:val="hybridMultilevel"/>
    <w:tmpl w:val="C262D2BE"/>
    <w:lvl w:ilvl="0" w:tplc="5406C554">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1E24791"/>
    <w:multiLevelType w:val="multilevel"/>
    <w:tmpl w:val="C5723AC8"/>
    <w:lvl w:ilvl="0">
      <w:start w:val="1"/>
      <w:numFmt w:val="decimal"/>
      <w:lvlText w:val="%1."/>
      <w:lvlJc w:val="left"/>
      <w:pPr>
        <w:tabs>
          <w:tab w:val="num" w:pos="547"/>
        </w:tabs>
        <w:ind w:left="547" w:hanging="547"/>
      </w:pPr>
    </w:lvl>
    <w:lvl w:ilvl="1">
      <w:start w:val="1"/>
      <w:numFmt w:val="lowerLetter"/>
      <w:lvlText w:val="%2."/>
      <w:lvlJc w:val="left"/>
      <w:pPr>
        <w:tabs>
          <w:tab w:val="num" w:pos="1080"/>
        </w:tabs>
        <w:ind w:left="1080" w:hanging="533"/>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21B3DDE"/>
    <w:multiLevelType w:val="multilevel"/>
    <w:tmpl w:val="7602B1E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027EC2"/>
    <w:multiLevelType w:val="multilevel"/>
    <w:tmpl w:val="C0A053B8"/>
    <w:lvl w:ilvl="0">
      <w:start w:val="1"/>
      <w:numFmt w:val="decimal"/>
      <w:lvlText w:val="%1."/>
      <w:lvlJc w:val="left"/>
      <w:pPr>
        <w:tabs>
          <w:tab w:val="num" w:pos="547"/>
        </w:tabs>
        <w:ind w:left="547" w:hanging="547"/>
      </w:pPr>
    </w:lvl>
    <w:lvl w:ilvl="1">
      <w:start w:val="1"/>
      <w:numFmt w:val="lowerLetter"/>
      <w:lvlText w:val="%2."/>
      <w:lvlJc w:val="left"/>
      <w:pPr>
        <w:tabs>
          <w:tab w:val="num" w:pos="1080"/>
        </w:tabs>
        <w:ind w:left="1080" w:hanging="533"/>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77C1356"/>
    <w:multiLevelType w:val="multilevel"/>
    <w:tmpl w:val="C5723AC8"/>
    <w:lvl w:ilvl="0">
      <w:start w:val="1"/>
      <w:numFmt w:val="decimal"/>
      <w:lvlText w:val="%1."/>
      <w:lvlJc w:val="left"/>
      <w:pPr>
        <w:tabs>
          <w:tab w:val="num" w:pos="547"/>
        </w:tabs>
        <w:ind w:left="547" w:hanging="547"/>
      </w:pPr>
    </w:lvl>
    <w:lvl w:ilvl="1">
      <w:start w:val="1"/>
      <w:numFmt w:val="lowerLetter"/>
      <w:lvlText w:val="%2."/>
      <w:lvlJc w:val="left"/>
      <w:pPr>
        <w:tabs>
          <w:tab w:val="num" w:pos="1080"/>
        </w:tabs>
        <w:ind w:left="1080" w:hanging="533"/>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
  </w:num>
  <w:num w:numId="2">
    <w:abstractNumId w:val="19"/>
  </w:num>
  <w:num w:numId="3">
    <w:abstractNumId w:val="6"/>
  </w:num>
  <w:num w:numId="4">
    <w:abstractNumId w:val="25"/>
  </w:num>
  <w:num w:numId="5">
    <w:abstractNumId w:val="3"/>
  </w:num>
  <w:num w:numId="6">
    <w:abstractNumId w:val="27"/>
  </w:num>
  <w:num w:numId="7">
    <w:abstractNumId w:val="24"/>
  </w:num>
  <w:num w:numId="8">
    <w:abstractNumId w:val="9"/>
  </w:num>
  <w:num w:numId="9">
    <w:abstractNumId w:val="11"/>
  </w:num>
  <w:num w:numId="10">
    <w:abstractNumId w:val="10"/>
  </w:num>
  <w:num w:numId="11">
    <w:abstractNumId w:val="12"/>
  </w:num>
  <w:num w:numId="12">
    <w:abstractNumId w:val="5"/>
  </w:num>
  <w:num w:numId="13">
    <w:abstractNumId w:val="17"/>
  </w:num>
  <w:num w:numId="14">
    <w:abstractNumId w:val="2"/>
  </w:num>
  <w:num w:numId="15">
    <w:abstractNumId w:val="7"/>
  </w:num>
  <w:num w:numId="16">
    <w:abstractNumId w:val="13"/>
  </w:num>
  <w:num w:numId="17">
    <w:abstractNumId w:val="16"/>
  </w:num>
  <w:num w:numId="18">
    <w:abstractNumId w:val="20"/>
  </w:num>
  <w:num w:numId="19">
    <w:abstractNumId w:val="15"/>
  </w:num>
  <w:num w:numId="20">
    <w:abstractNumId w:val="14"/>
  </w:num>
  <w:num w:numId="21">
    <w:abstractNumId w:val="22"/>
  </w:num>
  <w:num w:numId="22">
    <w:abstractNumId w:val="21"/>
  </w:num>
  <w:num w:numId="23">
    <w:abstractNumId w:val="8"/>
  </w:num>
  <w:num w:numId="24">
    <w:abstractNumId w:val="23"/>
  </w:num>
  <w:num w:numId="25">
    <w:abstractNumId w:val="18"/>
  </w:num>
  <w:num w:numId="26">
    <w:abstractNumId w:val="1"/>
  </w:num>
  <w:num w:numId="27">
    <w:abstractNumId w:val="0"/>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05B9"/>
    <w:rsid w:val="00087F45"/>
    <w:rsid w:val="001219C6"/>
    <w:rsid w:val="001266E4"/>
    <w:rsid w:val="001A208D"/>
    <w:rsid w:val="001D2738"/>
    <w:rsid w:val="00215753"/>
    <w:rsid w:val="002E6108"/>
    <w:rsid w:val="003262F0"/>
    <w:rsid w:val="003614D1"/>
    <w:rsid w:val="003839E4"/>
    <w:rsid w:val="003B52B2"/>
    <w:rsid w:val="004A3719"/>
    <w:rsid w:val="004E179F"/>
    <w:rsid w:val="004F23A8"/>
    <w:rsid w:val="00520371"/>
    <w:rsid w:val="0053590C"/>
    <w:rsid w:val="00556DB0"/>
    <w:rsid w:val="005747FC"/>
    <w:rsid w:val="005806CF"/>
    <w:rsid w:val="005826F3"/>
    <w:rsid w:val="005A05B9"/>
    <w:rsid w:val="005B4F8D"/>
    <w:rsid w:val="005D5255"/>
    <w:rsid w:val="00623FCF"/>
    <w:rsid w:val="00635322"/>
    <w:rsid w:val="006B23AF"/>
    <w:rsid w:val="006B55CA"/>
    <w:rsid w:val="006C045B"/>
    <w:rsid w:val="008102FF"/>
    <w:rsid w:val="00810F53"/>
    <w:rsid w:val="0081173E"/>
    <w:rsid w:val="008B24AF"/>
    <w:rsid w:val="008E4BBB"/>
    <w:rsid w:val="00916271"/>
    <w:rsid w:val="00972B7E"/>
    <w:rsid w:val="009B78EB"/>
    <w:rsid w:val="00A16F85"/>
    <w:rsid w:val="00AA580D"/>
    <w:rsid w:val="00B90B20"/>
    <w:rsid w:val="00BB76DA"/>
    <w:rsid w:val="00BE2E29"/>
    <w:rsid w:val="00C34A76"/>
    <w:rsid w:val="00C56CD1"/>
    <w:rsid w:val="00CC6C84"/>
    <w:rsid w:val="00D028DA"/>
    <w:rsid w:val="00D27942"/>
    <w:rsid w:val="00D45B25"/>
    <w:rsid w:val="00D85FE3"/>
    <w:rsid w:val="00D931B8"/>
    <w:rsid w:val="00DB3363"/>
    <w:rsid w:val="00E22BBC"/>
    <w:rsid w:val="00E614CF"/>
    <w:rsid w:val="00EA1B09"/>
    <w:rsid w:val="00ED2C34"/>
    <w:rsid w:val="00F06494"/>
    <w:rsid w:val="00F10DD3"/>
    <w:rsid w:val="00F33F95"/>
    <w:rsid w:val="00F92799"/>
    <w:rsid w:val="00FF7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E23582"/>
  <w15:chartTrackingRefBased/>
  <w15:docId w15:val="{96D4C516-24F7-4151-A05E-6BBCE1712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qFormat/>
    <w:pPr>
      <w:keepNext/>
      <w:numPr>
        <w:ilvl w:val="3"/>
        <w:numId w:val="18"/>
      </w:numPr>
      <w:tabs>
        <w:tab w:val="left" w:pos="1890"/>
      </w:tabs>
      <w:outlineLvl w:val="0"/>
    </w:pPr>
    <w:rPr>
      <w:sz w:val="28"/>
    </w:rPr>
  </w:style>
  <w:style w:type="paragraph" w:styleId="Heading2">
    <w:name w:val="heading 2"/>
    <w:basedOn w:val="Normal"/>
    <w:next w:val="Normal"/>
    <w:qFormat/>
    <w:pPr>
      <w:keepNext/>
      <w:outlineLvl w:val="1"/>
    </w:pPr>
    <w:rPr>
      <w:b/>
      <w:sz w:val="24"/>
      <w:u w:val="single"/>
    </w:rPr>
  </w:style>
  <w:style w:type="paragraph" w:styleId="Heading3">
    <w:name w:val="heading 3"/>
    <w:basedOn w:val="Normal"/>
    <w:next w:val="Normal"/>
    <w:qFormat/>
    <w:pPr>
      <w:keepNext/>
      <w:widowControl w:val="0"/>
      <w:spacing w:after="100"/>
      <w:jc w:val="right"/>
      <w:outlineLvl w:val="2"/>
    </w:pPr>
    <w:rPr>
      <w:snapToGrid w:val="0"/>
      <w:sz w:val="3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2">
    <w:name w:val="Body Text 2"/>
    <w:basedOn w:val="Normal"/>
    <w:pPr>
      <w:widowControl w:val="0"/>
    </w:pPr>
    <w:rPr>
      <w:snapToGrid w:val="0"/>
      <w:sz w:val="28"/>
    </w:rPr>
  </w:style>
  <w:style w:type="paragraph" w:customStyle="1" w:styleId="H4">
    <w:name w:val="H4"/>
    <w:basedOn w:val="Normal"/>
    <w:next w:val="Normal"/>
    <w:pPr>
      <w:keepNext/>
      <w:widowControl w:val="0"/>
      <w:spacing w:before="100" w:after="100"/>
      <w:outlineLvl w:val="4"/>
    </w:pPr>
    <w:rPr>
      <w:b/>
      <w:snapToGrid w:val="0"/>
      <w:sz w:val="24"/>
    </w:rPr>
  </w:style>
  <w:style w:type="paragraph" w:styleId="BodyTextIndent">
    <w:name w:val="Body Text Indent"/>
    <w:basedOn w:val="Normal"/>
    <w:pPr>
      <w:tabs>
        <w:tab w:val="left" w:pos="360"/>
        <w:tab w:val="left" w:pos="1080"/>
      </w:tabs>
      <w:ind w:left="1440"/>
    </w:pPr>
    <w:rPr>
      <w:sz w:val="24"/>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Footer">
    <w:name w:val="footer"/>
    <w:basedOn w:val="Normal"/>
    <w:pPr>
      <w:tabs>
        <w:tab w:val="center" w:pos="4320"/>
        <w:tab w:val="right" w:pos="8640"/>
      </w:tabs>
    </w:pPr>
    <w:rPr>
      <w:sz w:val="24"/>
    </w:rPr>
  </w:style>
  <w:style w:type="paragraph" w:styleId="Header">
    <w:name w:val="header"/>
    <w:basedOn w:val="Normal"/>
    <w:pPr>
      <w:tabs>
        <w:tab w:val="center" w:pos="4320"/>
        <w:tab w:val="right" w:pos="8640"/>
      </w:tabs>
    </w:pPr>
    <w:rPr>
      <w:sz w:val="24"/>
    </w:rPr>
  </w:style>
  <w:style w:type="character" w:styleId="PageNumber">
    <w:name w:val="page number"/>
    <w:basedOn w:val="DefaultParagraphFont"/>
  </w:style>
  <w:style w:type="paragraph" w:styleId="EndnoteText">
    <w:name w:val="endnote text"/>
    <w:basedOn w:val="Normal"/>
    <w:semiHidden/>
  </w:style>
  <w:style w:type="character" w:styleId="EndnoteReference">
    <w:name w:val="endnote reference"/>
    <w:semiHidden/>
    <w:rPr>
      <w:vertAlign w:val="superscript"/>
    </w:rPr>
  </w:style>
  <w:style w:type="paragraph" w:styleId="BalloonText">
    <w:name w:val="Balloon Text"/>
    <w:basedOn w:val="Normal"/>
    <w:semiHidden/>
    <w:rsid w:val="005B4F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1366</Words>
  <Characters>7787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HIPAA Administrative, Technical, and Physical Safeguards and Accounting Procedures</vt:lpstr>
    </vt:vector>
  </TitlesOfParts>
  <Manager/>
  <Company>TenStep, Inc.</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HIPAA Administrative, Technical, and Physical Safeguards and Accounting Procedures</dc:title>
  <dc:subject/>
  <dc:creator>Tom Mochal</dc:creator>
  <cp:keywords/>
  <dc:description/>
  <cp:lastModifiedBy> </cp:lastModifiedBy>
  <cp:revision>2</cp:revision>
  <cp:lastPrinted>2003-08-05T15:01:00Z</cp:lastPrinted>
  <dcterms:created xsi:type="dcterms:W3CDTF">2018-08-28T19:52:00Z</dcterms:created>
  <dcterms:modified xsi:type="dcterms:W3CDTF">2018-08-28T19:52:00Z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533783508</vt:i4>
  </property>
  <property fmtid="{D5CDD505-2E9C-101B-9397-08002B2CF9AE}" pid="3" name="_EmailSubject">
    <vt:lpwstr>HIPAA 3</vt:lpwstr>
  </property>
  <property fmtid="{D5CDD505-2E9C-101B-9397-08002B2CF9AE}" pid="4" name="_AuthorEmail">
    <vt:lpwstr>cbates@kcgov.us</vt:lpwstr>
  </property>
  <property fmtid="{D5CDD505-2E9C-101B-9397-08002B2CF9AE}" pid="5" name="_AuthorEmailDisplayName">
    <vt:lpwstr>Cherie Bates</vt:lpwstr>
  </property>
  <property fmtid="{D5CDD505-2E9C-101B-9397-08002B2CF9AE}" pid="6" name="_ReviewingToolsShownOnce">
    <vt:lpwstr/>
  </property>
</Properties>
</file>